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both"/>
        <w:rPr>
          <w:rFonts w:ascii="宋体" w:hAnsi="宋体" w:cs="宋体"/>
        </w:rPr>
      </w:pPr>
    </w:p>
    <w:p>
      <w:pPr>
        <w:autoSpaceDE w:val="0"/>
        <w:autoSpaceDN w:val="0"/>
        <w:adjustRightInd w:val="0"/>
        <w:spacing w:line="360" w:lineRule="auto"/>
        <w:ind w:right="-199" w:rightChars="-95"/>
        <w:jc w:val="center"/>
        <w:rPr>
          <w:rFonts w:ascii="宋体" w:hAnsi="宋体" w:cs="仿宋_GB2312"/>
          <w:b/>
          <w:sz w:val="52"/>
          <w:szCs w:val="52"/>
        </w:rPr>
      </w:pPr>
      <w:r>
        <w:rPr>
          <w:rFonts w:hint="eastAsia" w:ascii="宋体" w:hAnsi="宋体" w:cs="仿宋_GB2312"/>
          <w:b/>
          <w:sz w:val="52"/>
          <w:szCs w:val="52"/>
        </w:rPr>
        <w:t>甘洛县人民医院医学图像处理软件公开综合评选项目</w:t>
      </w: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jc w:val="center"/>
        <w:rPr>
          <w:rFonts w:ascii="宋体" w:hAnsi="宋体" w:cs="宋体"/>
          <w:b/>
          <w:kern w:val="0"/>
          <w:sz w:val="84"/>
          <w:szCs w:val="84"/>
        </w:rPr>
      </w:pPr>
      <w:r>
        <w:rPr>
          <w:rFonts w:hint="eastAsia" w:ascii="宋体" w:hAnsi="宋体" w:cs="宋体"/>
          <w:b/>
          <w:kern w:val="0"/>
          <w:sz w:val="84"/>
          <w:szCs w:val="84"/>
        </w:rPr>
        <w:t xml:space="preserve">评 选 文 件 </w:t>
      </w:r>
    </w:p>
    <w:p>
      <w:pPr>
        <w:autoSpaceDE w:val="0"/>
        <w:autoSpaceDN w:val="0"/>
        <w:adjustRightInd w:val="0"/>
        <w:spacing w:line="360" w:lineRule="auto"/>
        <w:jc w:val="center"/>
        <w:rPr>
          <w:rFonts w:ascii="宋体" w:hAnsi="宋体" w:cs="宋体"/>
          <w:b/>
          <w:kern w:val="0"/>
          <w:sz w:val="84"/>
          <w:szCs w:val="84"/>
          <w:lang w:val="zh-CN"/>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left"/>
        <w:rPr>
          <w:rFonts w:ascii="宋体" w:hAnsi="宋体" w:cs="宋体"/>
          <w:b/>
          <w:bCs/>
          <w:sz w:val="28"/>
          <w:szCs w:val="32"/>
        </w:rPr>
      </w:pPr>
    </w:p>
    <w:p>
      <w:pPr>
        <w:adjustRightInd w:val="0"/>
        <w:snapToGrid w:val="0"/>
        <w:spacing w:line="480" w:lineRule="auto"/>
        <w:ind w:firstLine="3080" w:firstLineChars="1100"/>
        <w:jc w:val="left"/>
        <w:rPr>
          <w:rFonts w:ascii="宋体" w:hAnsi="宋体" w:cs="宋体"/>
          <w:bCs/>
          <w:sz w:val="28"/>
          <w:szCs w:val="32"/>
        </w:rPr>
      </w:pPr>
    </w:p>
    <w:p>
      <w:pPr>
        <w:adjustRightInd w:val="0"/>
        <w:snapToGrid w:val="0"/>
        <w:spacing w:line="480" w:lineRule="auto"/>
        <w:jc w:val="center"/>
        <w:rPr>
          <w:rFonts w:ascii="宋体" w:hAnsi="宋体" w:cs="宋体"/>
          <w:b/>
          <w:sz w:val="36"/>
          <w:szCs w:val="36"/>
          <w:u w:val="single"/>
        </w:rPr>
      </w:pPr>
      <w:r>
        <w:rPr>
          <w:rFonts w:hint="eastAsia" w:ascii="宋体" w:hAnsi="宋体" w:cs="宋体"/>
          <w:b/>
          <w:sz w:val="36"/>
          <w:szCs w:val="36"/>
        </w:rPr>
        <w:t>评选单位：甘洛县人民医院</w:t>
      </w:r>
    </w:p>
    <w:p>
      <w:pPr>
        <w:adjustRightInd w:val="0"/>
        <w:snapToGrid w:val="0"/>
        <w:spacing w:line="480" w:lineRule="auto"/>
        <w:jc w:val="center"/>
        <w:rPr>
          <w:rFonts w:ascii="宋体" w:hAnsi="宋体" w:cs="宋体"/>
          <w:b/>
          <w:sz w:val="36"/>
          <w:szCs w:val="36"/>
        </w:rPr>
      </w:pPr>
      <w:r>
        <w:rPr>
          <w:rFonts w:hint="eastAsia" w:ascii="宋体" w:hAnsi="宋体" w:cs="宋体"/>
          <w:b/>
          <w:sz w:val="36"/>
          <w:szCs w:val="36"/>
        </w:rPr>
        <w:t>202</w:t>
      </w:r>
      <w:r>
        <w:rPr>
          <w:rFonts w:hint="eastAsia" w:ascii="宋体" w:hAnsi="宋体" w:cs="宋体"/>
          <w:b/>
          <w:sz w:val="36"/>
          <w:szCs w:val="36"/>
          <w:lang w:val="en-US" w:eastAsia="zh-CN"/>
        </w:rPr>
        <w:t>4</w:t>
      </w:r>
      <w:r>
        <w:rPr>
          <w:rFonts w:hint="eastAsia" w:ascii="宋体" w:hAnsi="宋体" w:cs="宋体"/>
          <w:b/>
          <w:sz w:val="36"/>
          <w:szCs w:val="36"/>
        </w:rPr>
        <w:t>年</w:t>
      </w:r>
      <w:r>
        <w:rPr>
          <w:rFonts w:hint="eastAsia" w:ascii="宋体" w:hAnsi="宋体" w:cs="宋体"/>
          <w:b/>
          <w:color w:val="000000" w:themeColor="text1"/>
          <w:sz w:val="36"/>
          <w:szCs w:val="36"/>
          <w:lang w:val="en-US" w:eastAsia="zh-CN"/>
          <w14:textFill>
            <w14:solidFill>
              <w14:schemeClr w14:val="tx1"/>
            </w14:solidFill>
          </w14:textFill>
        </w:rPr>
        <w:t>7</w:t>
      </w:r>
      <w:r>
        <w:rPr>
          <w:rFonts w:hint="eastAsia" w:ascii="宋体" w:hAnsi="宋体" w:cs="宋体"/>
          <w:b/>
          <w:sz w:val="36"/>
          <w:szCs w:val="36"/>
        </w:rPr>
        <w:t>月</w:t>
      </w:r>
    </w:p>
    <w:p>
      <w:pPr>
        <w:pStyle w:val="27"/>
        <w:rPr>
          <w:kern w:val="2"/>
          <w:sz w:val="21"/>
        </w:rPr>
      </w:pPr>
    </w:p>
    <w:p>
      <w:pPr>
        <w:rPr>
          <w:rFonts w:ascii="仿宋" w:hAnsi="仿宋" w:eastAsia="仿宋" w:cs="仿宋"/>
          <w:sz w:val="28"/>
          <w:szCs w:val="28"/>
        </w:rPr>
      </w:pPr>
    </w:p>
    <w:p>
      <w:pPr>
        <w:spacing w:line="360" w:lineRule="auto"/>
        <w:rPr>
          <w:rFonts w:ascii="宋体" w:hAnsi="宋体" w:cs="宋体"/>
          <w:sz w:val="28"/>
          <w:szCs w:val="28"/>
        </w:rPr>
      </w:pPr>
    </w:p>
    <w:p>
      <w:pPr>
        <w:jc w:val="center"/>
        <w:outlineLvl w:val="0"/>
        <w:rPr>
          <w:rFonts w:ascii="宋体" w:hAnsi="宋体" w:cs="宋体"/>
          <w:szCs w:val="32"/>
        </w:rPr>
      </w:pPr>
      <w:r>
        <w:rPr>
          <w:rFonts w:hint="eastAsia" w:ascii="宋体" w:hAnsi="宋体" w:cs="宋体"/>
        </w:rPr>
        <w:br w:type="page"/>
      </w:r>
      <w:bookmarkStart w:id="0" w:name="_Toc20559"/>
      <w:r>
        <w:rPr>
          <w:rFonts w:hint="eastAsia" w:ascii="仿宋" w:hAnsi="仿宋" w:eastAsia="仿宋"/>
          <w:b/>
          <w:bCs/>
          <w:kern w:val="44"/>
          <w:sz w:val="36"/>
          <w:szCs w:val="36"/>
        </w:rPr>
        <w:t>第一部分 评选邀请</w:t>
      </w:r>
      <w:bookmarkEnd w:id="0"/>
    </w:p>
    <w:p>
      <w:pPr>
        <w:autoSpaceDE w:val="0"/>
        <w:autoSpaceDN w:val="0"/>
        <w:adjustRightInd w:val="0"/>
        <w:spacing w:line="360" w:lineRule="auto"/>
        <w:ind w:right="-199" w:rightChars="-95"/>
        <w:jc w:val="left"/>
        <w:rPr>
          <w:rFonts w:ascii="宋体" w:hAnsi="宋体"/>
          <w:sz w:val="24"/>
          <w:szCs w:val="28"/>
        </w:rPr>
      </w:pPr>
      <w:r>
        <w:rPr>
          <w:rFonts w:hint="eastAsia" w:ascii="宋体" w:hAnsi="宋体"/>
          <w:bCs/>
          <w:sz w:val="24"/>
        </w:rPr>
        <w:t>甘洛县人民医院拟采用竞争性磋商方式确定一名合法供应商提供甘洛县人民医院医学图像处理软件公开综合评选项目，</w:t>
      </w:r>
      <w:r>
        <w:rPr>
          <w:rFonts w:hint="eastAsia" w:ascii="宋体" w:hAnsi="宋体"/>
          <w:spacing w:val="-4"/>
          <w:sz w:val="24"/>
        </w:rPr>
        <w:t>本项目共</w:t>
      </w:r>
      <w:r>
        <w:rPr>
          <w:rFonts w:ascii="宋体" w:hAnsi="宋体"/>
          <w:b/>
          <w:bCs/>
          <w:sz w:val="24"/>
        </w:rPr>
        <w:t>1</w:t>
      </w:r>
      <w:r>
        <w:rPr>
          <w:rFonts w:hint="eastAsia" w:ascii="宋体" w:hAnsi="宋体"/>
          <w:spacing w:val="-4"/>
          <w:sz w:val="24"/>
        </w:rPr>
        <w:t>个包，（</w:t>
      </w:r>
      <w:r>
        <w:rPr>
          <w:rFonts w:hint="eastAsia" w:ascii="宋体" w:hAnsi="宋体"/>
          <w:sz w:val="24"/>
          <w:szCs w:val="28"/>
        </w:rPr>
        <w:t>详见评选文件）</w:t>
      </w:r>
    </w:p>
    <w:p>
      <w:pPr>
        <w:autoSpaceDE w:val="0"/>
        <w:autoSpaceDN w:val="0"/>
        <w:adjustRightInd w:val="0"/>
        <w:spacing w:line="360" w:lineRule="auto"/>
        <w:ind w:right="-199" w:rightChars="-95"/>
        <w:jc w:val="center"/>
        <w:rPr>
          <w:rFonts w:ascii="仿宋" w:hAnsi="仿宋" w:eastAsia="仿宋" w:cs="仿宋"/>
          <w:sz w:val="28"/>
          <w:szCs w:val="28"/>
        </w:rPr>
      </w:pPr>
      <w:r>
        <w:rPr>
          <w:rFonts w:hint="eastAsia" w:ascii="仿宋" w:hAnsi="仿宋" w:eastAsia="仿宋" w:cs="仿宋"/>
          <w:b/>
          <w:sz w:val="28"/>
          <w:szCs w:val="28"/>
        </w:rPr>
        <w:t xml:space="preserve">    1、项目名称：</w:t>
      </w:r>
      <w:r>
        <w:rPr>
          <w:rFonts w:hint="eastAsia" w:ascii="仿宋" w:hAnsi="仿宋" w:eastAsia="仿宋" w:cs="仿宋"/>
          <w:sz w:val="28"/>
          <w:szCs w:val="28"/>
        </w:rPr>
        <w:t>甘洛县人民医院医学图像处理软件公开综合评选项目</w:t>
      </w:r>
    </w:p>
    <w:p>
      <w:pPr>
        <w:spacing w:after="120" w:line="360" w:lineRule="auto"/>
        <w:ind w:firstLine="562" w:firstLineChars="200"/>
        <w:rPr>
          <w:rFonts w:ascii="宋体" w:hAnsi="宋体"/>
          <w:b/>
          <w:bCs/>
          <w:sz w:val="24"/>
        </w:rPr>
      </w:pPr>
      <w:r>
        <w:rPr>
          <w:rFonts w:hint="eastAsia" w:ascii="仿宋" w:hAnsi="仿宋" w:eastAsia="仿宋" w:cs="仿宋"/>
          <w:b/>
          <w:sz w:val="28"/>
          <w:szCs w:val="28"/>
        </w:rPr>
        <w:t>2、</w:t>
      </w:r>
      <w:r>
        <w:rPr>
          <w:rFonts w:hint="eastAsia" w:ascii="仿宋" w:hAnsi="仿宋" w:eastAsia="仿宋" w:cs="仿宋"/>
          <w:b/>
          <w:bCs/>
          <w:sz w:val="28"/>
          <w:szCs w:val="28"/>
        </w:rPr>
        <w:t>项</w:t>
      </w:r>
      <w:r>
        <w:rPr>
          <w:rFonts w:hint="eastAsia" w:ascii="宋体" w:hAnsi="宋体"/>
          <w:b/>
          <w:bCs/>
          <w:sz w:val="24"/>
        </w:rPr>
        <w:t>供应商邀请方式</w:t>
      </w:r>
    </w:p>
    <w:p>
      <w:pPr>
        <w:wordWrap w:val="0"/>
        <w:snapToGrid w:val="0"/>
        <w:spacing w:line="360" w:lineRule="auto"/>
        <w:jc w:val="left"/>
        <w:rPr>
          <w:rFonts w:ascii="仿宋" w:hAnsi="仿宋" w:eastAsia="仿宋" w:cs="仿宋"/>
          <w:color w:val="0000FF"/>
          <w:sz w:val="28"/>
          <w:szCs w:val="28"/>
        </w:rPr>
      </w:pPr>
      <w:r>
        <w:rPr>
          <w:rFonts w:hint="eastAsia" w:ascii="宋体" w:hAnsi="宋体" w:cs="宋体"/>
          <w:sz w:val="24"/>
        </w:rPr>
        <w:t xml:space="preserve">    公告方式：本次竞争性磋商邀请在甘洛县人民医院官网（www.glxrmyy.cn）上以公告形式发布。</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3、评选申请人应具备的资格条件</w:t>
      </w:r>
    </w:p>
    <w:p>
      <w:pPr>
        <w:spacing w:line="360" w:lineRule="auto"/>
        <w:rPr>
          <w:rFonts w:ascii="宋体" w:hAnsi="宋体"/>
          <w:sz w:val="24"/>
        </w:rPr>
      </w:pPr>
      <w:r>
        <w:rPr>
          <w:rFonts w:hint="eastAsia" w:ascii="宋体" w:hAnsi="宋体"/>
          <w:sz w:val="24"/>
        </w:rPr>
        <w:t>（一）符合《中华人民共和国政府采购法》第二十二条规定的条件；</w:t>
      </w:r>
    </w:p>
    <w:p>
      <w:pPr>
        <w:spacing w:line="360" w:lineRule="auto"/>
        <w:rPr>
          <w:rFonts w:ascii="宋体" w:hAnsi="宋体" w:cs="宋体"/>
          <w:sz w:val="24"/>
        </w:rPr>
      </w:pPr>
      <w:r>
        <w:rPr>
          <w:rFonts w:hint="eastAsia" w:ascii="宋体" w:hAnsi="宋体"/>
          <w:sz w:val="24"/>
        </w:rPr>
        <w:t xml:space="preserve"> </w:t>
      </w:r>
      <w:r>
        <w:rPr>
          <w:rFonts w:hint="eastAsia" w:ascii="宋体" w:hAnsi="宋体" w:cs="宋体"/>
          <w:sz w:val="24"/>
        </w:rPr>
        <w:t xml:space="preserve"> 1、具有独立承担民事责任的能力；</w:t>
      </w:r>
    </w:p>
    <w:p>
      <w:pPr>
        <w:spacing w:line="360" w:lineRule="auto"/>
        <w:rPr>
          <w:rFonts w:ascii="宋体" w:hAnsi="宋体" w:cs="宋体"/>
          <w:sz w:val="24"/>
        </w:rPr>
      </w:pPr>
      <w:r>
        <w:rPr>
          <w:rFonts w:hint="eastAsia" w:ascii="宋体" w:hAnsi="宋体" w:cs="宋体"/>
          <w:sz w:val="24"/>
        </w:rPr>
        <w:t xml:space="preserve">  2、具有良好的商业信誉和健全的财务会计制度；</w:t>
      </w:r>
    </w:p>
    <w:p>
      <w:pPr>
        <w:spacing w:line="360" w:lineRule="auto"/>
        <w:rPr>
          <w:rFonts w:ascii="宋体" w:hAnsi="宋体" w:cs="宋体"/>
          <w:sz w:val="24"/>
        </w:rPr>
      </w:pPr>
      <w:r>
        <w:rPr>
          <w:rFonts w:hint="eastAsia" w:ascii="宋体" w:hAnsi="宋体" w:cs="宋体"/>
          <w:sz w:val="24"/>
        </w:rPr>
        <w:t xml:space="preserve">  3、具有履行合同所必需的设备和专业技术能力；</w:t>
      </w:r>
    </w:p>
    <w:p>
      <w:pPr>
        <w:spacing w:line="360" w:lineRule="auto"/>
        <w:rPr>
          <w:rFonts w:ascii="宋体" w:hAnsi="宋体" w:cs="宋体"/>
          <w:sz w:val="24"/>
        </w:rPr>
      </w:pPr>
      <w:r>
        <w:rPr>
          <w:rFonts w:hint="eastAsia" w:ascii="宋体" w:hAnsi="宋体" w:cs="宋体"/>
          <w:sz w:val="24"/>
        </w:rPr>
        <w:t xml:space="preserve">  4、有依法缴纳税收和社会保障资金的良好记录；</w:t>
      </w:r>
    </w:p>
    <w:p>
      <w:pPr>
        <w:spacing w:line="360" w:lineRule="auto"/>
        <w:rPr>
          <w:rFonts w:ascii="宋体" w:hAnsi="宋体" w:cs="宋体"/>
          <w:sz w:val="24"/>
        </w:rPr>
      </w:pPr>
      <w:r>
        <w:rPr>
          <w:rFonts w:hint="eastAsia" w:ascii="宋体" w:hAnsi="宋体" w:cs="宋体"/>
          <w:sz w:val="24"/>
        </w:rPr>
        <w:t xml:space="preserve">  5、参加采购活动前三年内，在经营活动中没有重大违法记录；</w:t>
      </w:r>
    </w:p>
    <w:p>
      <w:pPr>
        <w:spacing w:line="360" w:lineRule="auto"/>
        <w:rPr>
          <w:rFonts w:ascii="宋体" w:hAnsi="宋体" w:cs="宋体"/>
          <w:sz w:val="24"/>
        </w:rPr>
      </w:pPr>
      <w:r>
        <w:rPr>
          <w:rFonts w:hint="eastAsia" w:ascii="宋体" w:hAnsi="宋体" w:cs="宋体"/>
          <w:sz w:val="24"/>
        </w:rPr>
        <w:t xml:space="preserve">  6、法律、行政法规规定的其他条件。</w:t>
      </w:r>
    </w:p>
    <w:p>
      <w:pPr>
        <w:spacing w:line="360" w:lineRule="auto"/>
        <w:rPr>
          <w:rFonts w:ascii="宋体" w:hAnsi="宋体"/>
          <w:sz w:val="24"/>
        </w:rPr>
      </w:pPr>
      <w:r>
        <w:rPr>
          <w:rFonts w:hint="eastAsia" w:ascii="宋体" w:hAnsi="宋体"/>
          <w:sz w:val="24"/>
        </w:rPr>
        <w:t>（二）针对本项目要求的其他要求：</w:t>
      </w:r>
    </w:p>
    <w:p>
      <w:pPr>
        <w:pStyle w:val="30"/>
        <w:ind w:firstLine="664" w:firstLineChars="277"/>
        <w:rPr>
          <w:rFonts w:hAnsi="宋体" w:cs="宋体"/>
          <w:sz w:val="24"/>
        </w:rPr>
      </w:pPr>
      <w:r>
        <w:rPr>
          <w:rFonts w:hint="eastAsia" w:hAnsi="宋体" w:cs="宋体"/>
          <w:sz w:val="24"/>
        </w:rPr>
        <w:t>1、供应商及其现任法定代表人、主要负责人在参加本次采购活动前3年内不得具有行贿犯罪记录。</w:t>
      </w:r>
    </w:p>
    <w:p>
      <w:pPr>
        <w:pStyle w:val="2"/>
        <w:ind w:firstLine="480"/>
        <w:rPr>
          <w:rFonts w:ascii="仿宋" w:hAnsi="仿宋" w:eastAsia="仿宋" w:cs="仿宋"/>
          <w:sz w:val="28"/>
          <w:szCs w:val="28"/>
        </w:rPr>
      </w:pPr>
      <w:r>
        <w:rPr>
          <w:rFonts w:hint="eastAsia"/>
        </w:rPr>
        <w:t xml:space="preserve">  2、本项目不接受联合体。</w:t>
      </w:r>
    </w:p>
    <w:p>
      <w:pPr>
        <w:spacing w:line="560" w:lineRule="exact"/>
        <w:ind w:firstLine="562" w:firstLineChars="200"/>
        <w:jc w:val="left"/>
        <w:rPr>
          <w:rFonts w:ascii="仿宋" w:hAnsi="仿宋" w:eastAsia="仿宋" w:cs="仿宋"/>
          <w:b/>
          <w:bCs/>
          <w:sz w:val="28"/>
          <w:szCs w:val="28"/>
        </w:rPr>
      </w:pPr>
      <w:r>
        <w:rPr>
          <w:rFonts w:hint="eastAsia" w:ascii="仿宋" w:hAnsi="仿宋" w:eastAsia="仿宋" w:cs="仿宋"/>
          <w:b/>
          <w:sz w:val="28"/>
          <w:szCs w:val="28"/>
        </w:rPr>
        <w:t>4、</w:t>
      </w:r>
      <w:r>
        <w:rPr>
          <w:rFonts w:hint="eastAsia" w:ascii="仿宋" w:hAnsi="仿宋" w:eastAsia="仿宋" w:cs="仿宋"/>
          <w:b/>
          <w:bCs/>
          <w:kern w:val="0"/>
          <w:sz w:val="28"/>
          <w:szCs w:val="28"/>
        </w:rPr>
        <w:t>评选文件的获取时间及地点</w:t>
      </w:r>
      <w:r>
        <w:rPr>
          <w:rFonts w:hint="eastAsia" w:ascii="仿宋" w:hAnsi="仿宋" w:eastAsia="仿宋" w:cs="仿宋"/>
          <w:b/>
          <w:bCs/>
          <w:sz w:val="28"/>
          <w:szCs w:val="28"/>
        </w:rPr>
        <w:t>：</w:t>
      </w:r>
    </w:p>
    <w:p>
      <w:pPr>
        <w:spacing w:line="360" w:lineRule="auto"/>
        <w:ind w:firstLine="482" w:firstLineChars="200"/>
        <w:rPr>
          <w:rFonts w:ascii="宋体" w:hAnsi="宋体"/>
          <w:b/>
          <w:color w:val="000000"/>
          <w:sz w:val="24"/>
        </w:rPr>
      </w:pPr>
      <w:r>
        <w:rPr>
          <w:rFonts w:hint="eastAsia" w:ascii="宋体" w:hAnsi="宋体"/>
          <w:b/>
          <w:color w:val="000000"/>
          <w:sz w:val="24"/>
        </w:rPr>
        <w:t>磋商文件获取方式、时间、地点：</w:t>
      </w:r>
    </w:p>
    <w:p>
      <w:pPr>
        <w:spacing w:line="400" w:lineRule="exact"/>
        <w:ind w:firstLine="480" w:firstLineChars="200"/>
        <w:rPr>
          <w:rFonts w:ascii="宋体" w:hAnsi="宋体"/>
          <w:color w:val="000000"/>
          <w:sz w:val="24"/>
        </w:rPr>
      </w:pPr>
      <w:r>
        <w:rPr>
          <w:rFonts w:hint="eastAsia" w:ascii="宋体" w:hAnsi="宋体"/>
          <w:color w:val="000000"/>
          <w:sz w:val="24"/>
        </w:rPr>
        <w:t>1、报名时间：202</w:t>
      </w:r>
      <w:r>
        <w:rPr>
          <w:rFonts w:hint="eastAsia" w:ascii="宋体" w:hAnsi="宋体"/>
          <w:color w:val="000000"/>
          <w:sz w:val="24"/>
          <w:lang w:val="en-US" w:eastAsia="zh-CN"/>
        </w:rPr>
        <w:t>4</w:t>
      </w:r>
      <w:r>
        <w:rPr>
          <w:rFonts w:hint="eastAsia" w:ascii="宋体" w:hAnsi="宋体"/>
          <w:color w:val="000000"/>
          <w:sz w:val="24"/>
        </w:rPr>
        <w:t>年</w:t>
      </w:r>
      <w:r>
        <w:rPr>
          <w:rFonts w:hint="eastAsia" w:ascii="宋体" w:hAnsi="宋体"/>
          <w:color w:val="000000"/>
          <w:sz w:val="24"/>
          <w:lang w:val="en-US" w:eastAsia="zh-CN"/>
        </w:rPr>
        <w:t>7</w:t>
      </w:r>
      <w:r>
        <w:rPr>
          <w:rFonts w:hint="eastAsia" w:ascii="宋体" w:hAnsi="宋体"/>
          <w:color w:val="000000"/>
          <w:sz w:val="24"/>
        </w:rPr>
        <w:t xml:space="preserve"> 月</w:t>
      </w:r>
      <w:r>
        <w:rPr>
          <w:rFonts w:hint="eastAsia" w:ascii="宋体" w:hAnsi="宋体"/>
          <w:color w:val="000000"/>
          <w:sz w:val="24"/>
          <w:lang w:val="en-US" w:eastAsia="zh-CN"/>
        </w:rPr>
        <w:t>5</w:t>
      </w:r>
      <w:r>
        <w:rPr>
          <w:rFonts w:hint="eastAsia" w:ascii="宋体" w:hAnsi="宋体"/>
          <w:color w:val="000000"/>
          <w:sz w:val="24"/>
        </w:rPr>
        <w:t>日至202</w:t>
      </w:r>
      <w:r>
        <w:rPr>
          <w:rFonts w:hint="eastAsia" w:ascii="宋体" w:hAnsi="宋体"/>
          <w:color w:val="000000"/>
          <w:sz w:val="24"/>
          <w:lang w:val="en-US" w:eastAsia="zh-CN"/>
        </w:rPr>
        <w:t>4</w:t>
      </w:r>
      <w:r>
        <w:rPr>
          <w:rFonts w:hint="eastAsia" w:ascii="宋体" w:hAnsi="宋体"/>
          <w:color w:val="000000"/>
          <w:sz w:val="24"/>
        </w:rPr>
        <w:t>年</w:t>
      </w:r>
      <w:r>
        <w:rPr>
          <w:rFonts w:hint="eastAsia" w:ascii="宋体" w:hAnsi="宋体"/>
          <w:color w:val="000000"/>
          <w:sz w:val="24"/>
          <w:lang w:val="en-US" w:eastAsia="zh-CN"/>
        </w:rPr>
        <w:t>7</w:t>
      </w:r>
      <w:r>
        <w:rPr>
          <w:rFonts w:hint="eastAsia" w:ascii="宋体" w:hAnsi="宋体"/>
          <w:color w:val="000000"/>
          <w:sz w:val="24"/>
        </w:rPr>
        <w:t>月</w:t>
      </w:r>
      <w:r>
        <w:rPr>
          <w:rFonts w:hint="eastAsia" w:ascii="宋体" w:hAnsi="宋体"/>
          <w:color w:val="000000"/>
          <w:sz w:val="24"/>
          <w:lang w:val="en-US" w:eastAsia="zh-CN"/>
        </w:rPr>
        <w:t>9</w:t>
      </w:r>
      <w:r>
        <w:rPr>
          <w:rFonts w:hint="eastAsia" w:ascii="宋体" w:hAnsi="宋体"/>
          <w:color w:val="000000"/>
          <w:sz w:val="24"/>
        </w:rPr>
        <w:t>日08:30- 16:00（节假日除外）；</w:t>
      </w:r>
    </w:p>
    <w:p>
      <w:pPr>
        <w:spacing w:line="400" w:lineRule="exact"/>
        <w:ind w:firstLine="480" w:firstLineChars="200"/>
        <w:rPr>
          <w:rFonts w:ascii="宋体" w:hAnsi="宋体"/>
          <w:color w:val="000000"/>
          <w:sz w:val="24"/>
        </w:rPr>
      </w:pPr>
      <w:r>
        <w:rPr>
          <w:rFonts w:hint="eastAsia" w:ascii="宋体" w:hAnsi="宋体"/>
          <w:color w:val="000000"/>
          <w:sz w:val="24"/>
        </w:rPr>
        <w:t>2、报名地点：</w:t>
      </w:r>
      <w:bookmarkStart w:id="1" w:name="_Hlk62727597"/>
      <w:r>
        <w:rPr>
          <w:rFonts w:hint="eastAsia" w:ascii="宋体" w:hAnsi="宋体"/>
          <w:color w:val="000000"/>
          <w:sz w:val="24"/>
        </w:rPr>
        <w:t>甘洛县人民</w:t>
      </w:r>
      <w:bookmarkEnd w:id="1"/>
      <w:r>
        <w:rPr>
          <w:rFonts w:hint="eastAsia" w:ascii="宋体" w:hAnsi="宋体"/>
          <w:color w:val="000000"/>
          <w:sz w:val="24"/>
        </w:rPr>
        <w:t>医院；</w:t>
      </w:r>
    </w:p>
    <w:p>
      <w:pPr>
        <w:spacing w:line="400" w:lineRule="exact"/>
        <w:ind w:firstLine="480" w:firstLineChars="200"/>
        <w:rPr>
          <w:rFonts w:ascii="宋体" w:hAnsi="宋体"/>
          <w:color w:val="000000"/>
          <w:sz w:val="24"/>
        </w:rPr>
      </w:pPr>
      <w:r>
        <w:rPr>
          <w:rFonts w:hint="eastAsia" w:ascii="宋体" w:hAnsi="宋体"/>
          <w:color w:val="000000"/>
          <w:sz w:val="24"/>
        </w:rPr>
        <w:t>3、报名方式：甘洛县人民医院现场报名或网上报名。</w:t>
      </w:r>
    </w:p>
    <w:p>
      <w:pPr>
        <w:spacing w:line="400" w:lineRule="exact"/>
        <w:ind w:firstLine="480" w:firstLineChars="200"/>
        <w:rPr>
          <w:rFonts w:ascii="宋体" w:hAnsi="宋体"/>
          <w:color w:val="000000"/>
          <w:sz w:val="24"/>
        </w:rPr>
      </w:pPr>
      <w:r>
        <w:rPr>
          <w:rFonts w:hint="eastAsia" w:ascii="宋体" w:hAnsi="宋体"/>
          <w:color w:val="000000"/>
          <w:sz w:val="24"/>
        </w:rPr>
        <w:t>3.1报名所需材料：</w:t>
      </w:r>
    </w:p>
    <w:p>
      <w:pPr>
        <w:spacing w:line="400" w:lineRule="exact"/>
        <w:ind w:firstLine="480" w:firstLineChars="200"/>
        <w:rPr>
          <w:rFonts w:ascii="宋体" w:hAnsi="宋体"/>
          <w:color w:val="000000"/>
          <w:sz w:val="24"/>
        </w:rPr>
      </w:pPr>
      <w:r>
        <w:rPr>
          <w:rFonts w:hint="eastAsia" w:ascii="宋体" w:hAnsi="宋体"/>
          <w:color w:val="000000"/>
          <w:sz w:val="24"/>
        </w:rPr>
        <w:t>（1）、介绍函原件（注明投标公司的名称、投标项目、联系人、联系电话、邮箱号；介绍函需加盖投标人鲜章,报名登记后，投标资格不能转让），如果投标人未如实填写，在磋商文件发布期间，如磋商文件有更正或修改而采购中心因所留联系方式有误而无法通知到投标人的，其责任由投标人自行承担。要求领取磋商文件公司名称、投标项目及标号与投标公司名称、投标项目及标号必须一致。</w:t>
      </w:r>
    </w:p>
    <w:p>
      <w:pPr>
        <w:spacing w:line="400" w:lineRule="exact"/>
        <w:ind w:firstLine="480" w:firstLineChars="200"/>
        <w:rPr>
          <w:rFonts w:ascii="宋体" w:hAnsi="宋体"/>
          <w:color w:val="000000"/>
          <w:sz w:val="24"/>
        </w:rPr>
      </w:pPr>
      <w:r>
        <w:rPr>
          <w:rFonts w:hint="eastAsia" w:ascii="宋体" w:hAnsi="宋体"/>
          <w:color w:val="000000"/>
          <w:sz w:val="24"/>
        </w:rPr>
        <w:t>（2）、被委托人身份证复印件。以上材料需加盖鲜章</w:t>
      </w:r>
    </w:p>
    <w:p>
      <w:pPr>
        <w:spacing w:line="400" w:lineRule="exact"/>
        <w:ind w:firstLine="480" w:firstLineChars="200"/>
        <w:rPr>
          <w:rFonts w:ascii="宋体" w:hAnsi="宋体"/>
          <w:color w:val="000000"/>
          <w:sz w:val="24"/>
        </w:rPr>
      </w:pPr>
      <w:r>
        <w:rPr>
          <w:rFonts w:hint="eastAsia" w:ascii="宋体" w:hAnsi="宋体"/>
          <w:color w:val="000000"/>
          <w:sz w:val="24"/>
        </w:rPr>
        <w:t xml:space="preserve"> 注：</w:t>
      </w:r>
      <w:r>
        <w:fldChar w:fldCharType="begin"/>
      </w:r>
      <w:r>
        <w:instrText xml:space="preserve"> HYPERLINK "mailto:通过网上报名的应将以上材料扫描发送至2562821403@qq.com邮箱（邮箱标题注明项目编号）。" </w:instrText>
      </w:r>
      <w:r>
        <w:fldChar w:fldCharType="separate"/>
      </w:r>
      <w:r>
        <w:rPr>
          <w:rFonts w:hint="eastAsia" w:ascii="宋体" w:hAnsi="宋体"/>
          <w:color w:val="000000"/>
          <w:sz w:val="24"/>
        </w:rPr>
        <w:t>通过网上报名的应将以上材料扫描发送至2957790092</w:t>
      </w:r>
      <w:r>
        <w:rPr>
          <w:rFonts w:hint="eastAsia" w:ascii="宋体" w:hAnsi="宋体"/>
          <w:color w:val="000000"/>
          <w:sz w:val="24"/>
          <w:lang w:val="zh-CN"/>
        </w:rPr>
        <w:t>@qq.com</w:t>
      </w:r>
      <w:r>
        <w:rPr>
          <w:rFonts w:hint="eastAsia" w:ascii="宋体" w:hAnsi="宋体"/>
          <w:color w:val="000000"/>
          <w:sz w:val="24"/>
        </w:rPr>
        <w:t>邮箱（邮箱标题注明项目编号）。</w:t>
      </w:r>
      <w:r>
        <w:rPr>
          <w:rFonts w:hint="eastAsia" w:ascii="宋体" w:hAnsi="宋体"/>
          <w:color w:val="000000"/>
          <w:sz w:val="24"/>
        </w:rPr>
        <w:fldChar w:fldCharType="end"/>
      </w:r>
    </w:p>
    <w:p>
      <w:pPr>
        <w:spacing w:line="400" w:lineRule="exact"/>
        <w:ind w:firstLine="480" w:firstLineChars="200"/>
        <w:rPr>
          <w:rFonts w:ascii="宋体" w:hAnsi="宋体"/>
          <w:color w:val="000000"/>
          <w:sz w:val="24"/>
        </w:rPr>
      </w:pPr>
      <w:r>
        <w:rPr>
          <w:rFonts w:hint="eastAsia" w:ascii="宋体" w:hAnsi="宋体"/>
          <w:color w:val="000000"/>
          <w:sz w:val="24"/>
        </w:rPr>
        <w:t>4、磋商文件领取：甘洛县人民政府医院现场领取或甘洛县人民医院官网下载。</w:t>
      </w:r>
    </w:p>
    <w:p>
      <w:pPr>
        <w:spacing w:line="400" w:lineRule="exact"/>
        <w:ind w:firstLine="480" w:firstLineChars="200"/>
        <w:rPr>
          <w:rFonts w:ascii="宋体" w:hAnsi="宋体"/>
          <w:color w:val="000000"/>
          <w:sz w:val="24"/>
        </w:rPr>
      </w:pPr>
      <w:r>
        <w:rPr>
          <w:rFonts w:hint="eastAsia" w:ascii="宋体" w:hAnsi="宋体"/>
          <w:color w:val="000000"/>
          <w:sz w:val="24"/>
        </w:rPr>
        <w:t>5、磋商文件售价：免费, 投标资格不能转让。</w:t>
      </w:r>
    </w:p>
    <w:p>
      <w:pPr>
        <w:spacing w:line="560" w:lineRule="exact"/>
        <w:ind w:firstLine="536" w:firstLineChars="200"/>
        <w:jc w:val="left"/>
        <w:rPr>
          <w:rFonts w:ascii="仿宋" w:hAnsi="仿宋" w:eastAsia="仿宋" w:cs="仿宋"/>
          <w:color w:val="000000"/>
          <w:spacing w:val="-6"/>
          <w:sz w:val="28"/>
          <w:szCs w:val="28"/>
        </w:rPr>
      </w:pPr>
    </w:p>
    <w:p>
      <w:pPr>
        <w:spacing w:line="480" w:lineRule="exact"/>
        <w:ind w:firstLine="536"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pacing w:val="-6"/>
          <w:sz w:val="28"/>
          <w:szCs w:val="28"/>
        </w:rPr>
        <w:t>4.2 领取地点及联系人：</w:t>
      </w:r>
      <w:r>
        <w:rPr>
          <w:rFonts w:hint="eastAsia" w:ascii="仿宋" w:hAnsi="仿宋" w:eastAsia="仿宋" w:cs="仿宋"/>
          <w:color w:val="000000" w:themeColor="text1"/>
          <w:spacing w:val="-6"/>
          <w:sz w:val="28"/>
          <w:szCs w:val="28"/>
          <w14:textFill>
            <w14:solidFill>
              <w14:schemeClr w14:val="tx1"/>
            </w14:solidFill>
          </w14:textFill>
        </w:rPr>
        <w:t>阿木老师 甘洛县人民医院信息</w:t>
      </w:r>
      <w:r>
        <w:rPr>
          <w:rFonts w:hint="eastAsia" w:ascii="仿宋" w:hAnsi="仿宋" w:eastAsia="仿宋" w:cs="仿宋"/>
          <w:color w:val="000000" w:themeColor="text1"/>
          <w:spacing w:val="-6"/>
          <w:sz w:val="28"/>
          <w:szCs w:val="28"/>
          <w:lang w:eastAsia="zh-Hans"/>
          <w14:textFill>
            <w14:solidFill>
              <w14:schemeClr w14:val="tx1"/>
            </w14:solidFill>
          </w14:textFill>
        </w:rPr>
        <w:t>科</w:t>
      </w:r>
      <w:r>
        <w:rPr>
          <w:rFonts w:ascii="仿宋" w:hAnsi="仿宋" w:eastAsia="仿宋" w:cs="仿宋"/>
          <w:color w:val="000000" w:themeColor="text1"/>
          <w:spacing w:val="-6"/>
          <w:sz w:val="28"/>
          <w:szCs w:val="28"/>
          <w14:textFill>
            <w14:solidFill>
              <w14:schemeClr w14:val="tx1"/>
            </w14:solidFill>
          </w14:textFill>
        </w:rPr>
        <w:t xml:space="preserve"> </w:t>
      </w:r>
      <w:r>
        <w:rPr>
          <w:rFonts w:hint="eastAsia" w:ascii="仿宋" w:hAnsi="仿宋" w:eastAsia="仿宋" w:cs="仿宋"/>
          <w:color w:val="000000" w:themeColor="text1"/>
          <w:spacing w:val="-6"/>
          <w:sz w:val="28"/>
          <w:szCs w:val="28"/>
          <w14:textFill>
            <w14:solidFill>
              <w14:schemeClr w14:val="tx1"/>
            </w14:solidFill>
          </w14:textFill>
        </w:rPr>
        <w:t>邮箱号：</w:t>
      </w:r>
      <w:r>
        <w:fldChar w:fldCharType="begin"/>
      </w:r>
      <w:r>
        <w:instrText xml:space="preserve"> HYPERLINK "mailto:glxrmyy@163.com" </w:instrText>
      </w:r>
      <w:r>
        <w:fldChar w:fldCharType="separate"/>
      </w:r>
      <w:r>
        <w:rPr>
          <w:rFonts w:hint="eastAsia" w:ascii="仿宋" w:hAnsi="仿宋" w:eastAsia="仿宋" w:cs="仿宋"/>
          <w:color w:val="000000"/>
          <w:sz w:val="28"/>
          <w:szCs w:val="28"/>
          <w:shd w:val="clear" w:color="auto" w:fill="FFFFFF"/>
        </w:rPr>
        <w:t>2278273581</w:t>
      </w:r>
      <w:r>
        <w:rPr>
          <w:rStyle w:val="22"/>
          <w:rFonts w:hint="eastAsia" w:ascii="仿宋" w:hAnsi="仿宋" w:eastAsia="仿宋" w:cs="仿宋"/>
          <w:color w:val="000000"/>
          <w:sz w:val="28"/>
          <w:szCs w:val="28"/>
          <w:u w:val="none"/>
          <w:shd w:val="clear" w:color="auto" w:fill="FFFFFF"/>
        </w:rPr>
        <w:t>@qq.com</w:t>
      </w:r>
      <w:r>
        <w:rPr>
          <w:rStyle w:val="22"/>
          <w:rFonts w:hint="eastAsia" w:ascii="仿宋" w:hAnsi="仿宋" w:eastAsia="仿宋" w:cs="仿宋"/>
          <w:color w:val="000000"/>
          <w:sz w:val="28"/>
          <w:szCs w:val="28"/>
          <w:u w:val="none"/>
          <w:shd w:val="clear" w:color="auto" w:fill="FFFFFF"/>
        </w:rPr>
        <w:fldChar w:fldCharType="end"/>
      </w:r>
      <w:r>
        <w:rPr>
          <w:rFonts w:hint="eastAsia" w:ascii="仿宋" w:hAnsi="仿宋" w:eastAsia="仿宋" w:cs="仿宋"/>
          <w:color w:val="000000" w:themeColor="text1"/>
          <w:spacing w:val="-6"/>
          <w:sz w:val="28"/>
          <w:szCs w:val="28"/>
          <w14:textFill>
            <w14:solidFill>
              <w14:schemeClr w14:val="tx1"/>
            </w14:solidFill>
          </w14:textFill>
        </w:rPr>
        <w:t xml:space="preserve"> 联系电话：0834-</w:t>
      </w:r>
      <w:r>
        <w:rPr>
          <w:rFonts w:hint="eastAsia" w:ascii="仿宋" w:hAnsi="仿宋" w:eastAsia="仿宋" w:cs="仿宋"/>
          <w:sz w:val="28"/>
          <w:szCs w:val="28"/>
        </w:rPr>
        <w:t>7812563</w:t>
      </w:r>
      <w:r>
        <w:rPr>
          <w:rFonts w:hint="eastAsia" w:ascii="仿宋" w:hAnsi="仿宋" w:eastAsia="仿宋" w:cs="仿宋"/>
          <w:color w:val="000000" w:themeColor="text1"/>
          <w:spacing w:val="-6"/>
          <w:sz w:val="28"/>
          <w:szCs w:val="28"/>
          <w14:textFill>
            <w14:solidFill>
              <w14:schemeClr w14:val="tx1"/>
            </w14:solidFill>
          </w14:textFill>
        </w:rPr>
        <w:t>。</w:t>
      </w:r>
    </w:p>
    <w:p>
      <w:pPr>
        <w:spacing w:line="560" w:lineRule="exact"/>
        <w:ind w:firstLine="560" w:firstLineChars="200"/>
        <w:jc w:val="left"/>
        <w:rPr>
          <w:rFonts w:ascii="仿宋" w:hAnsi="仿宋" w:eastAsia="仿宋" w:cs="仿宋"/>
          <w:sz w:val="28"/>
          <w:szCs w:val="28"/>
        </w:rPr>
      </w:pPr>
    </w:p>
    <w:p>
      <w:pPr>
        <w:spacing w:line="56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5、评选申请书的递交及地点：</w:t>
      </w:r>
    </w:p>
    <w:p>
      <w:pPr>
        <w:wordWrap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sz w:val="28"/>
          <w:szCs w:val="28"/>
        </w:rPr>
        <w:t>5.1</w:t>
      </w:r>
      <w:r>
        <w:rPr>
          <w:rFonts w:hint="eastAsia" w:ascii="仿宋" w:hAnsi="仿宋" w:eastAsia="仿宋" w:cs="仿宋"/>
          <w:color w:val="000000" w:themeColor="text1"/>
          <w:sz w:val="28"/>
          <w:szCs w:val="28"/>
          <w14:textFill>
            <w14:solidFill>
              <w14:schemeClr w14:val="tx1"/>
            </w14:solidFill>
          </w14:textFill>
        </w:rPr>
        <w:t>评选申请人于202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日下午1</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:00前</w:t>
      </w:r>
      <w:r>
        <w:rPr>
          <w:rFonts w:hint="eastAsia" w:ascii="仿宋" w:hAnsi="仿宋" w:eastAsia="仿宋" w:cs="仿宋"/>
          <w:color w:val="000000"/>
          <w:sz w:val="28"/>
          <w:szCs w:val="28"/>
        </w:rPr>
        <w:t>，</w:t>
      </w:r>
      <w:r>
        <w:rPr>
          <w:rFonts w:hint="eastAsia" w:ascii="仿宋" w:hAnsi="仿宋" w:eastAsia="仿宋" w:cs="仿宋"/>
          <w:color w:val="000000" w:themeColor="text1"/>
          <w:sz w:val="28"/>
          <w:szCs w:val="28"/>
          <w14:textFill>
            <w14:solidFill>
              <w14:schemeClr w14:val="tx1"/>
            </w14:solidFill>
          </w14:textFill>
        </w:rPr>
        <w:t>将评选申请书以书面形式形式送至甘洛县人民医院信息科（文件名：单位名称+联系人+联系电话）。</w:t>
      </w:r>
    </w:p>
    <w:p>
      <w:pPr>
        <w:tabs>
          <w:tab w:val="left" w:pos="1380"/>
        </w:tabs>
        <w:autoSpaceDE w:val="0"/>
        <w:autoSpaceDN w:val="0"/>
        <w:adjustRightInd w:val="0"/>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5.2逾期送达的或者未送达指定地点的申请文件，采购人不予受理。</w:t>
      </w:r>
    </w:p>
    <w:p>
      <w:pPr>
        <w:spacing w:line="56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6、评选时间和地点</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6.1评选时间：202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日 上午10 :</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0</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color w:val="000000"/>
          <w:sz w:val="28"/>
          <w:szCs w:val="28"/>
        </w:rPr>
        <w:t>6.2评选地址：甘洛县人民医院行政楼3楼</w:t>
      </w:r>
      <w:r>
        <w:rPr>
          <w:rFonts w:hint="eastAsia" w:ascii="仿宋" w:hAnsi="仿宋" w:eastAsia="仿宋" w:cs="仿宋"/>
          <w:color w:val="000000"/>
          <w:sz w:val="28"/>
          <w:szCs w:val="28"/>
          <w:shd w:val="clear" w:color="auto" w:fill="FFFFFF"/>
        </w:rPr>
        <w:t>会议室</w:t>
      </w:r>
      <w:r>
        <w:rPr>
          <w:rFonts w:hint="eastAsia" w:ascii="仿宋" w:hAnsi="仿宋" w:eastAsia="仿宋" w:cs="仿宋"/>
          <w:color w:val="000000"/>
          <w:sz w:val="28"/>
          <w:szCs w:val="28"/>
        </w:rPr>
        <w:t>。</w:t>
      </w:r>
    </w:p>
    <w:p>
      <w:pPr>
        <w:wordWrap w:val="0"/>
        <w:autoSpaceDE w:val="0"/>
        <w:autoSpaceDN w:val="0"/>
        <w:adjustRightInd w:val="0"/>
        <w:spacing w:line="56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7、本综合评选邀请及综合评选结果在</w:t>
      </w:r>
      <w:r>
        <w:rPr>
          <w:rFonts w:hint="eastAsia" w:ascii="仿宋" w:hAnsi="仿宋" w:eastAsia="仿宋" w:cs="仿宋"/>
          <w:color w:val="000000"/>
          <w:sz w:val="28"/>
          <w:szCs w:val="28"/>
        </w:rPr>
        <w:t>甘洛县人民医院官方网站</w:t>
      </w:r>
      <w:r>
        <w:rPr>
          <w:rFonts w:hint="eastAsia" w:ascii="仿宋" w:hAnsi="仿宋" w:eastAsia="仿宋" w:cs="仿宋"/>
          <w:b/>
          <w:bCs/>
          <w:kern w:val="0"/>
          <w:sz w:val="28"/>
          <w:szCs w:val="28"/>
        </w:rPr>
        <w:t>上发布。</w:t>
      </w:r>
    </w:p>
    <w:p>
      <w:pPr>
        <w:autoSpaceDE w:val="0"/>
        <w:autoSpaceDN w:val="0"/>
        <w:adjustRightInd w:val="0"/>
        <w:spacing w:line="56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8、联系方式</w:t>
      </w:r>
    </w:p>
    <w:p>
      <w:pPr>
        <w:pStyle w:val="8"/>
        <w:spacing w:after="0" w:line="56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采购人：甘洛县人民医院</w:t>
      </w:r>
    </w:p>
    <w:p>
      <w:pPr>
        <w:pStyle w:val="8"/>
        <w:spacing w:after="0" w:line="56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地  址：甘洛县新市坝镇团结北街35号</w:t>
      </w:r>
    </w:p>
    <w:p>
      <w:pPr>
        <w:pStyle w:val="8"/>
        <w:spacing w:after="0" w:line="56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联系人：高老师</w:t>
      </w:r>
    </w:p>
    <w:p>
      <w:pPr>
        <w:pStyle w:val="30"/>
        <w:spacing w:line="560" w:lineRule="exact"/>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rPr>
        <w:t>联系电话：0834-78</w:t>
      </w:r>
      <w:r>
        <w:rPr>
          <w:rFonts w:hint="eastAsia" w:ascii="仿宋" w:hAnsi="仿宋" w:eastAsia="仿宋" w:cs="仿宋"/>
          <w:sz w:val="28"/>
          <w:szCs w:val="28"/>
          <w:lang w:val="en-US" w:eastAsia="zh-CN"/>
        </w:rPr>
        <w:t>35719</w:t>
      </w:r>
    </w:p>
    <w:p>
      <w:pPr>
        <w:spacing w:line="480" w:lineRule="exact"/>
        <w:ind w:firstLine="4620" w:firstLineChars="1650"/>
        <w:rPr>
          <w:rFonts w:ascii="仿宋" w:hAnsi="仿宋" w:eastAsia="仿宋" w:cs="仿宋"/>
          <w:sz w:val="28"/>
          <w:szCs w:val="28"/>
        </w:rPr>
      </w:pPr>
    </w:p>
    <w:p>
      <w:pPr>
        <w:pStyle w:val="30"/>
        <w:spacing w:line="560" w:lineRule="exact"/>
        <w:ind w:firstLine="640"/>
        <w:jc w:val="right"/>
        <w:rPr>
          <w:rFonts w:ascii="仿宋" w:hAnsi="仿宋" w:eastAsia="仿宋" w:cs="仿宋"/>
          <w:sz w:val="32"/>
          <w:szCs w:val="32"/>
        </w:rPr>
      </w:pPr>
      <w:bookmarkStart w:id="2" w:name="_Toc18611"/>
      <w:r>
        <w:rPr>
          <w:rFonts w:hint="eastAsia" w:ascii="仿宋" w:hAnsi="仿宋" w:eastAsia="仿宋" w:cs="仿宋"/>
          <w:sz w:val="32"/>
          <w:szCs w:val="32"/>
        </w:rPr>
        <w:t>甘洛县人民医院</w:t>
      </w:r>
    </w:p>
    <w:p>
      <w:pPr>
        <w:jc w:val="center"/>
        <w:outlineLvl w:val="0"/>
        <w:rPr>
          <w:rFonts w:ascii="仿宋" w:hAnsi="仿宋" w:eastAsia="仿宋"/>
          <w:b/>
          <w:bCs/>
          <w:kern w:val="44"/>
          <w:sz w:val="36"/>
          <w:szCs w:val="36"/>
          <w:lang w:val="zh-CN"/>
        </w:rPr>
      </w:pPr>
      <w:r>
        <w:rPr>
          <w:rFonts w:hint="eastAsia" w:ascii="仿宋" w:hAnsi="仿宋" w:eastAsia="仿宋" w:cs="仿宋"/>
          <w:sz w:val="32"/>
          <w:szCs w:val="32"/>
        </w:rPr>
        <w:t xml:space="preserve">                                    </w:t>
      </w:r>
      <w:r>
        <w:rPr>
          <w:rFonts w:hint="eastAsia" w:ascii="仿宋" w:hAnsi="仿宋" w:eastAsia="仿宋" w:cs="仿宋"/>
          <w:color w:val="000000"/>
          <w:sz w:val="28"/>
          <w:szCs w:val="28"/>
        </w:rPr>
        <w:t xml:space="preserve">  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日</w:t>
      </w:r>
    </w:p>
    <w:p>
      <w:pPr>
        <w:rPr>
          <w:rFonts w:ascii="仿宋" w:hAnsi="仿宋" w:eastAsia="仿宋"/>
          <w:b/>
          <w:bCs/>
          <w:kern w:val="44"/>
          <w:sz w:val="36"/>
          <w:szCs w:val="36"/>
          <w:lang w:val="zh-CN"/>
        </w:rPr>
      </w:pPr>
      <w:r>
        <w:rPr>
          <w:rFonts w:hint="eastAsia" w:ascii="仿宋" w:hAnsi="仿宋" w:eastAsia="仿宋"/>
          <w:b/>
          <w:bCs/>
          <w:kern w:val="44"/>
          <w:sz w:val="36"/>
          <w:szCs w:val="36"/>
          <w:lang w:val="zh-CN"/>
        </w:rPr>
        <w:br w:type="page"/>
      </w:r>
    </w:p>
    <w:p>
      <w:pPr>
        <w:jc w:val="center"/>
        <w:outlineLvl w:val="0"/>
        <w:rPr>
          <w:rFonts w:ascii="宋体" w:hAnsi="宋体" w:cs="宋体"/>
          <w:kern w:val="0"/>
          <w:sz w:val="32"/>
          <w:szCs w:val="32"/>
          <w:lang w:val="zh-CN"/>
        </w:rPr>
      </w:pPr>
      <w:r>
        <w:rPr>
          <w:rFonts w:hint="eastAsia" w:ascii="仿宋" w:hAnsi="仿宋" w:eastAsia="仿宋"/>
          <w:b/>
          <w:bCs/>
          <w:kern w:val="44"/>
          <w:sz w:val="36"/>
          <w:szCs w:val="36"/>
          <w:lang w:val="zh-CN"/>
        </w:rPr>
        <w:t>第二部分 评选申请人须知</w:t>
      </w:r>
      <w:bookmarkEnd w:id="2"/>
    </w:p>
    <w:p>
      <w:pPr>
        <w:spacing w:line="360" w:lineRule="auto"/>
        <w:ind w:firstLine="560" w:firstLineChars="200"/>
        <w:jc w:val="left"/>
        <w:rPr>
          <w:rFonts w:ascii="宋体" w:hAnsi="宋体" w:cs="宋体"/>
          <w:sz w:val="24"/>
        </w:rPr>
      </w:pPr>
      <w:r>
        <w:rPr>
          <w:rFonts w:hint="eastAsia" w:ascii="仿宋" w:hAnsi="仿宋" w:eastAsia="仿宋" w:cs="仿宋"/>
          <w:kern w:val="0"/>
          <w:sz w:val="28"/>
          <w:szCs w:val="28"/>
          <w:lang w:val="zh-CN"/>
        </w:rPr>
        <w:t>二</w:t>
      </w:r>
      <w:r>
        <w:rPr>
          <w:rFonts w:hint="eastAsia" w:ascii="宋体" w:hAnsi="宋体" w:cs="宋体"/>
          <w:sz w:val="24"/>
          <w:lang w:val="zh-CN"/>
        </w:rPr>
        <w:t>、</w:t>
      </w:r>
      <w:r>
        <w:rPr>
          <w:rFonts w:hint="eastAsia" w:ascii="宋体" w:hAnsi="宋体" w:cs="宋体"/>
          <w:sz w:val="24"/>
        </w:rPr>
        <w:t>评选</w:t>
      </w:r>
      <w:r>
        <w:rPr>
          <w:rFonts w:hint="eastAsia" w:ascii="宋体" w:hAnsi="宋体" w:cs="宋体"/>
          <w:sz w:val="24"/>
          <w:lang w:val="zh-CN"/>
        </w:rPr>
        <w:t>申请人资格</w:t>
      </w:r>
      <w:r>
        <w:rPr>
          <w:rFonts w:hint="eastAsia" w:ascii="宋体" w:hAnsi="宋体" w:cs="宋体"/>
          <w:sz w:val="24"/>
        </w:rPr>
        <w:t>证明材料</w:t>
      </w:r>
    </w:p>
    <w:p>
      <w:pPr>
        <w:spacing w:line="360" w:lineRule="auto"/>
        <w:ind w:firstLine="480" w:firstLineChars="200"/>
        <w:jc w:val="left"/>
        <w:rPr>
          <w:rFonts w:ascii="宋体" w:hAnsi="宋体" w:cs="宋体"/>
          <w:sz w:val="24"/>
        </w:rPr>
      </w:pPr>
      <w:r>
        <w:rPr>
          <w:rFonts w:hint="eastAsia" w:ascii="宋体" w:hAnsi="宋体" w:cs="宋体"/>
          <w:sz w:val="24"/>
        </w:rPr>
        <w:t>1、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spacing w:line="360" w:lineRule="auto"/>
        <w:ind w:firstLine="480" w:firstLineChars="200"/>
        <w:jc w:val="left"/>
        <w:rPr>
          <w:rFonts w:ascii="宋体" w:hAnsi="宋体" w:cs="宋体"/>
          <w:sz w:val="24"/>
        </w:rPr>
      </w:pPr>
      <w:r>
        <w:rPr>
          <w:rFonts w:hint="eastAsia" w:ascii="宋体" w:hAnsi="宋体" w:cs="宋体"/>
          <w:sz w:val="24"/>
        </w:rPr>
        <w:t>注：企业若已更换为三证合一的则提供营业执照副本复印件。</w:t>
      </w:r>
    </w:p>
    <w:p>
      <w:pPr>
        <w:spacing w:line="360" w:lineRule="auto"/>
        <w:ind w:firstLine="480" w:firstLineChars="200"/>
        <w:jc w:val="left"/>
        <w:rPr>
          <w:rFonts w:ascii="宋体" w:hAnsi="宋体" w:cs="宋体"/>
          <w:sz w:val="24"/>
        </w:rPr>
      </w:pPr>
      <w:r>
        <w:rPr>
          <w:rFonts w:hint="eastAsia" w:ascii="宋体" w:hAnsi="宋体" w:cs="宋体"/>
          <w:sz w:val="24"/>
        </w:rPr>
        <w:t>2、具有独立承担民事责任的能力；</w:t>
      </w:r>
    </w:p>
    <w:p>
      <w:pPr>
        <w:spacing w:line="360" w:lineRule="auto"/>
        <w:ind w:firstLine="480" w:firstLineChars="200"/>
        <w:jc w:val="left"/>
        <w:rPr>
          <w:rFonts w:ascii="宋体" w:hAnsi="宋体" w:cs="宋体"/>
          <w:sz w:val="24"/>
        </w:rPr>
      </w:pPr>
      <w:r>
        <w:rPr>
          <w:rFonts w:hint="eastAsia" w:ascii="宋体" w:hAnsi="宋体" w:cs="宋体"/>
          <w:sz w:val="24"/>
        </w:rPr>
        <w:t>3、具有良好的商业信誉和健全的财务会计制度；</w:t>
      </w:r>
    </w:p>
    <w:p>
      <w:pPr>
        <w:spacing w:line="360" w:lineRule="auto"/>
        <w:ind w:firstLine="480" w:firstLineChars="200"/>
        <w:jc w:val="left"/>
        <w:rPr>
          <w:rFonts w:ascii="宋体" w:hAnsi="宋体" w:cs="宋体"/>
          <w:sz w:val="24"/>
        </w:rPr>
      </w:pPr>
      <w:r>
        <w:rPr>
          <w:rFonts w:hint="eastAsia" w:ascii="宋体" w:hAnsi="宋体" w:cs="宋体"/>
          <w:sz w:val="24"/>
        </w:rPr>
        <w:t>4、具有履行合同所必需的设备和专业技术能力；</w:t>
      </w:r>
    </w:p>
    <w:p>
      <w:pPr>
        <w:spacing w:line="360" w:lineRule="auto"/>
        <w:ind w:firstLine="480" w:firstLineChars="200"/>
        <w:jc w:val="left"/>
        <w:rPr>
          <w:rFonts w:ascii="宋体" w:hAnsi="宋体" w:cs="宋体"/>
          <w:sz w:val="24"/>
        </w:rPr>
      </w:pPr>
      <w:r>
        <w:rPr>
          <w:rFonts w:hint="eastAsia" w:ascii="宋体" w:hAnsi="宋体" w:cs="宋体"/>
          <w:sz w:val="24"/>
        </w:rPr>
        <w:t>5、有依法缴纳税收和社会保障资金的良好记录；</w:t>
      </w:r>
    </w:p>
    <w:p>
      <w:pPr>
        <w:spacing w:line="360" w:lineRule="auto"/>
        <w:ind w:firstLine="480" w:firstLineChars="200"/>
        <w:jc w:val="left"/>
        <w:rPr>
          <w:rFonts w:ascii="宋体" w:hAnsi="宋体" w:cs="宋体"/>
          <w:sz w:val="24"/>
        </w:rPr>
      </w:pPr>
      <w:r>
        <w:rPr>
          <w:rFonts w:hint="eastAsia" w:ascii="宋体" w:hAnsi="宋体" w:cs="宋体"/>
          <w:sz w:val="24"/>
        </w:rPr>
        <w:t>6、参加采购活动前三年内，在经营活动中没有重大违法记录；</w:t>
      </w:r>
    </w:p>
    <w:p>
      <w:pPr>
        <w:spacing w:line="360" w:lineRule="auto"/>
        <w:ind w:firstLine="480" w:firstLineChars="200"/>
        <w:jc w:val="left"/>
        <w:rPr>
          <w:rFonts w:ascii="宋体" w:hAnsi="宋体" w:cs="宋体"/>
          <w:sz w:val="24"/>
        </w:rPr>
      </w:pPr>
      <w:r>
        <w:rPr>
          <w:rFonts w:hint="eastAsia" w:ascii="宋体" w:hAnsi="宋体" w:cs="宋体"/>
          <w:sz w:val="24"/>
        </w:rPr>
        <w:t>7、法律、行政法规规定的其他条件。</w:t>
      </w:r>
    </w:p>
    <w:p>
      <w:pPr>
        <w:pStyle w:val="2"/>
        <w:rPr>
          <w:rFonts w:ascii="仿宋" w:hAnsi="仿宋" w:eastAsia="仿宋" w:cs="仿宋"/>
          <w:sz w:val="28"/>
          <w:szCs w:val="28"/>
        </w:rPr>
      </w:pP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三、评选文件</w:t>
      </w:r>
    </w:p>
    <w:p>
      <w:pPr>
        <w:autoSpaceDE w:val="0"/>
        <w:autoSpaceDN w:val="0"/>
        <w:spacing w:line="480" w:lineRule="exact"/>
        <w:ind w:firstLine="560" w:firstLineChars="200"/>
        <w:jc w:val="left"/>
        <w:rPr>
          <w:lang w:val="zh-CN"/>
        </w:rPr>
      </w:pPr>
      <w:r>
        <w:rPr>
          <w:rFonts w:hint="eastAsia" w:ascii="仿宋" w:hAnsi="仿宋" w:eastAsia="仿宋" w:cs="仿宋"/>
          <w:kern w:val="0"/>
          <w:sz w:val="28"/>
          <w:szCs w:val="28"/>
          <w:lang w:val="zh-CN"/>
        </w:rPr>
        <w:t>评选申请人应仔细阅读</w:t>
      </w:r>
      <w:r>
        <w:rPr>
          <w:rFonts w:hint="eastAsia" w:ascii="仿宋" w:hAnsi="仿宋" w:eastAsia="仿宋" w:cs="仿宋"/>
          <w:kern w:val="0"/>
          <w:sz w:val="28"/>
          <w:szCs w:val="28"/>
        </w:rPr>
        <w:t>评选</w:t>
      </w:r>
      <w:r>
        <w:rPr>
          <w:rFonts w:hint="eastAsia" w:ascii="仿宋" w:hAnsi="仿宋" w:eastAsia="仿宋" w:cs="仿宋"/>
          <w:kern w:val="0"/>
          <w:sz w:val="28"/>
          <w:szCs w:val="28"/>
          <w:lang w:val="zh-CN"/>
        </w:rPr>
        <w:t>文件，按</w:t>
      </w:r>
      <w:r>
        <w:rPr>
          <w:rFonts w:hint="eastAsia" w:ascii="仿宋" w:hAnsi="仿宋" w:eastAsia="仿宋" w:cs="仿宋"/>
          <w:kern w:val="0"/>
          <w:sz w:val="28"/>
          <w:szCs w:val="28"/>
        </w:rPr>
        <w:t>评选</w:t>
      </w:r>
      <w:r>
        <w:rPr>
          <w:rFonts w:hint="eastAsia" w:ascii="仿宋" w:hAnsi="仿宋" w:eastAsia="仿宋" w:cs="仿宋"/>
          <w:kern w:val="0"/>
          <w:sz w:val="28"/>
          <w:szCs w:val="28"/>
          <w:lang w:val="zh-CN"/>
        </w:rPr>
        <w:t>文件的规定和要求的格式编写评选申请书。</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四</w:t>
      </w:r>
      <w:r>
        <w:rPr>
          <w:rFonts w:hint="eastAsia" w:ascii="仿宋" w:hAnsi="仿宋" w:eastAsia="仿宋" w:cs="仿宋"/>
          <w:kern w:val="0"/>
          <w:sz w:val="28"/>
          <w:szCs w:val="28"/>
          <w:lang w:val="zh-CN"/>
        </w:rPr>
        <w:t>、评选申请书的签署、密封与标识</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1、评选申请书</w:t>
      </w:r>
      <w:r>
        <w:rPr>
          <w:rFonts w:hint="eastAsia" w:ascii="仿宋" w:hAnsi="仿宋" w:eastAsia="仿宋" w:cs="仿宋"/>
          <w:sz w:val="28"/>
          <w:szCs w:val="28"/>
        </w:rPr>
        <w:t>应进行有效签署</w:t>
      </w:r>
      <w:r>
        <w:rPr>
          <w:rFonts w:hint="eastAsia" w:ascii="仿宋" w:hAnsi="仿宋" w:eastAsia="仿宋" w:cs="仿宋"/>
          <w:kern w:val="0"/>
          <w:sz w:val="28"/>
          <w:szCs w:val="28"/>
          <w:lang w:val="zh-CN"/>
        </w:rPr>
        <w:t>并加盖印鉴，否则申请文件无效。</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2、评选申请书的正本与副本应一起包装，评选申请书的外包装应保证其密封性，在密封的骑缝处加盖公章。封套上应清楚地载明评选申请人的名称、地址、电话。</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未按以上要求密封和加写标记的评选申请书将不予受理。</w:t>
      </w:r>
    </w:p>
    <w:p>
      <w:pPr>
        <w:pStyle w:val="2"/>
      </w:pPr>
      <w:r>
        <w:rPr>
          <w:rFonts w:hint="eastAsia"/>
        </w:rPr>
        <w:t xml:space="preserve">     </w:t>
      </w:r>
      <w:r>
        <w:rPr>
          <w:rFonts w:hint="eastAsia" w:ascii="仿宋" w:hAnsi="仿宋" w:eastAsia="仿宋" w:cs="仿宋"/>
          <w:kern w:val="0"/>
          <w:sz w:val="28"/>
          <w:szCs w:val="28"/>
          <w:lang w:val="zh-CN"/>
        </w:rPr>
        <w:t>评选申请书</w:t>
      </w:r>
      <w:r>
        <w:rPr>
          <w:rFonts w:hint="eastAsia" w:ascii="仿宋" w:hAnsi="仿宋" w:eastAsia="仿宋" w:cs="仿宋"/>
          <w:kern w:val="0"/>
          <w:sz w:val="28"/>
          <w:szCs w:val="28"/>
        </w:rPr>
        <w:t>分为一正两副。</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五</w:t>
      </w:r>
      <w:r>
        <w:rPr>
          <w:rFonts w:hint="eastAsia" w:ascii="仿宋" w:hAnsi="仿宋" w:eastAsia="仿宋" w:cs="仿宋"/>
          <w:kern w:val="0"/>
          <w:sz w:val="28"/>
          <w:szCs w:val="28"/>
          <w:lang w:val="zh-CN"/>
        </w:rPr>
        <w:t>、评审</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1、评审工作由评选人组建的评选评审小组负责。</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2、</w:t>
      </w:r>
      <w:r>
        <w:rPr>
          <w:rFonts w:hint="eastAsia" w:ascii="仿宋" w:hAnsi="仿宋" w:eastAsia="仿宋" w:cs="仿宋"/>
          <w:kern w:val="0"/>
          <w:sz w:val="28"/>
          <w:szCs w:val="28"/>
        </w:rPr>
        <w:t>评选</w:t>
      </w:r>
      <w:r>
        <w:rPr>
          <w:rFonts w:hint="eastAsia" w:ascii="仿宋" w:hAnsi="仿宋" w:eastAsia="仿宋" w:cs="仿宋"/>
          <w:kern w:val="0"/>
          <w:sz w:val="28"/>
          <w:szCs w:val="28"/>
          <w:lang w:val="zh-CN"/>
        </w:rPr>
        <w:t>评审小组</w:t>
      </w:r>
      <w:r>
        <w:rPr>
          <w:rFonts w:hint="eastAsia" w:ascii="仿宋" w:hAnsi="仿宋" w:eastAsia="仿宋" w:cs="仿宋"/>
          <w:sz w:val="28"/>
          <w:szCs w:val="28"/>
        </w:rPr>
        <w:t>按评选文件规定的评审办法及标准对评选申请书进行评审，按综合得分高低推荐中选候选人。</w:t>
      </w:r>
    </w:p>
    <w:p>
      <w:pPr>
        <w:autoSpaceDE w:val="0"/>
        <w:autoSpaceDN w:val="0"/>
        <w:adjustRightIn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3、评选申请书作废条款：</w:t>
      </w:r>
    </w:p>
    <w:p>
      <w:pPr>
        <w:autoSpaceDE w:val="0"/>
        <w:autoSpaceDN w:val="0"/>
        <w:adjustRightIn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eastAsia="zh-TW"/>
        </w:rPr>
        <w:t>⑴</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未</w:t>
      </w:r>
      <w:r>
        <w:rPr>
          <w:rFonts w:hint="eastAsia" w:ascii="仿宋" w:hAnsi="仿宋" w:eastAsia="仿宋" w:cs="仿宋"/>
          <w:kern w:val="0"/>
          <w:sz w:val="28"/>
          <w:szCs w:val="28"/>
        </w:rPr>
        <w:t>领取评选文件的；</w:t>
      </w:r>
    </w:p>
    <w:p>
      <w:pPr>
        <w:autoSpaceDE w:val="0"/>
        <w:autoSpaceDN w:val="0"/>
        <w:adjustRightIn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eastAsia="zh-TW"/>
        </w:rPr>
        <w:t>⑵</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提供虚假材料的</w:t>
      </w:r>
      <w:r>
        <w:rPr>
          <w:rFonts w:hint="eastAsia" w:ascii="仿宋" w:hAnsi="仿宋" w:eastAsia="仿宋" w:cs="仿宋"/>
          <w:kern w:val="0"/>
          <w:sz w:val="28"/>
          <w:szCs w:val="28"/>
        </w:rPr>
        <w:t>；</w:t>
      </w:r>
    </w:p>
    <w:p>
      <w:pPr>
        <w:autoSpaceDE w:val="0"/>
        <w:autoSpaceDN w:val="0"/>
        <w:adjustRightIn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eastAsia="zh-TW"/>
        </w:rPr>
        <w:t>⑶</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与其他</w:t>
      </w:r>
      <w:r>
        <w:rPr>
          <w:rFonts w:hint="eastAsia" w:ascii="仿宋" w:hAnsi="仿宋" w:eastAsia="仿宋" w:cs="仿宋"/>
          <w:kern w:val="0"/>
          <w:sz w:val="28"/>
          <w:szCs w:val="28"/>
        </w:rPr>
        <w:t>评选申请</w:t>
      </w:r>
      <w:r>
        <w:rPr>
          <w:rFonts w:hint="eastAsia" w:ascii="仿宋" w:hAnsi="仿宋" w:eastAsia="仿宋" w:cs="仿宋"/>
          <w:kern w:val="0"/>
          <w:sz w:val="28"/>
          <w:szCs w:val="28"/>
          <w:lang w:eastAsia="zh-TW"/>
        </w:rPr>
        <w:t>人恶意串通的</w:t>
      </w:r>
      <w:r>
        <w:rPr>
          <w:rFonts w:hint="eastAsia" w:ascii="仿宋" w:hAnsi="仿宋" w:eastAsia="仿宋" w:cs="仿宋"/>
          <w:kern w:val="0"/>
          <w:sz w:val="28"/>
          <w:szCs w:val="28"/>
        </w:rPr>
        <w:t>；</w:t>
      </w:r>
    </w:p>
    <w:p>
      <w:pPr>
        <w:autoSpaceDE w:val="0"/>
        <w:autoSpaceDN w:val="0"/>
        <w:adjustRightIn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eastAsia="zh-TW"/>
        </w:rPr>
        <w:t>⑷</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未按</w:t>
      </w:r>
      <w:r>
        <w:rPr>
          <w:rFonts w:hint="eastAsia" w:ascii="仿宋" w:hAnsi="仿宋" w:eastAsia="仿宋" w:cs="仿宋"/>
          <w:kern w:val="0"/>
          <w:sz w:val="28"/>
          <w:szCs w:val="28"/>
        </w:rPr>
        <w:t>评选</w:t>
      </w:r>
      <w:r>
        <w:rPr>
          <w:rFonts w:hint="eastAsia" w:ascii="仿宋" w:hAnsi="仿宋" w:eastAsia="仿宋" w:cs="仿宋"/>
          <w:kern w:val="0"/>
          <w:sz w:val="28"/>
          <w:szCs w:val="28"/>
          <w:lang w:eastAsia="zh-TW"/>
        </w:rPr>
        <w:t>文件要求制作</w:t>
      </w:r>
      <w:r>
        <w:rPr>
          <w:rFonts w:hint="eastAsia" w:ascii="仿宋" w:hAnsi="仿宋" w:eastAsia="仿宋" w:cs="仿宋"/>
          <w:kern w:val="0"/>
          <w:sz w:val="28"/>
          <w:szCs w:val="28"/>
        </w:rPr>
        <w:t>评选申请书</w:t>
      </w:r>
      <w:r>
        <w:rPr>
          <w:rFonts w:hint="eastAsia" w:ascii="仿宋" w:hAnsi="仿宋" w:eastAsia="仿宋" w:cs="仿宋"/>
          <w:kern w:val="0"/>
          <w:sz w:val="28"/>
          <w:szCs w:val="28"/>
          <w:lang w:eastAsia="zh-TW"/>
        </w:rPr>
        <w:t>的</w:t>
      </w:r>
      <w:r>
        <w:rPr>
          <w:rFonts w:hint="eastAsia" w:ascii="仿宋" w:hAnsi="仿宋" w:eastAsia="仿宋" w:cs="仿宋"/>
          <w:kern w:val="0"/>
          <w:sz w:val="28"/>
          <w:szCs w:val="28"/>
        </w:rPr>
        <w:t>；</w:t>
      </w:r>
    </w:p>
    <w:p>
      <w:pPr>
        <w:autoSpaceDE w:val="0"/>
        <w:autoSpaceDN w:val="0"/>
        <w:adjustRightIn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eastAsia="zh-TW"/>
        </w:rPr>
        <w:t>⑸</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未</w:t>
      </w:r>
      <w:r>
        <w:rPr>
          <w:rFonts w:hint="eastAsia" w:ascii="仿宋" w:hAnsi="仿宋" w:eastAsia="仿宋" w:cs="仿宋"/>
          <w:kern w:val="0"/>
          <w:sz w:val="28"/>
          <w:szCs w:val="28"/>
        </w:rPr>
        <w:t>按评选文件要求</w:t>
      </w:r>
      <w:r>
        <w:rPr>
          <w:rFonts w:hint="eastAsia" w:ascii="仿宋" w:hAnsi="仿宋" w:eastAsia="仿宋" w:cs="仿宋"/>
          <w:kern w:val="0"/>
          <w:sz w:val="28"/>
          <w:szCs w:val="28"/>
          <w:lang w:eastAsia="zh-TW"/>
        </w:rPr>
        <w:t>密封和加盖公章的</w:t>
      </w:r>
      <w:r>
        <w:rPr>
          <w:rFonts w:hint="eastAsia" w:ascii="仿宋" w:hAnsi="仿宋" w:eastAsia="仿宋" w:cs="仿宋"/>
          <w:kern w:val="0"/>
          <w:sz w:val="28"/>
          <w:szCs w:val="28"/>
        </w:rPr>
        <w:t>；</w:t>
      </w:r>
    </w:p>
    <w:p>
      <w:pPr>
        <w:autoSpaceDE w:val="0"/>
        <w:autoSpaceDN w:val="0"/>
        <w:adjustRightIn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eastAsia="zh-TW"/>
        </w:rPr>
        <w:t>⑹</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对</w:t>
      </w:r>
      <w:r>
        <w:rPr>
          <w:rFonts w:hint="eastAsia" w:ascii="仿宋" w:hAnsi="仿宋" w:eastAsia="仿宋" w:cs="仿宋"/>
          <w:kern w:val="0"/>
          <w:sz w:val="28"/>
          <w:szCs w:val="28"/>
        </w:rPr>
        <w:t>评选</w:t>
      </w:r>
      <w:r>
        <w:rPr>
          <w:rFonts w:hint="eastAsia" w:ascii="仿宋" w:hAnsi="仿宋" w:eastAsia="仿宋" w:cs="仿宋"/>
          <w:kern w:val="0"/>
          <w:sz w:val="28"/>
          <w:szCs w:val="28"/>
          <w:lang w:eastAsia="zh-TW"/>
        </w:rPr>
        <w:t>文件未作实质性应答</w:t>
      </w:r>
      <w:r>
        <w:rPr>
          <w:rFonts w:hint="eastAsia" w:ascii="仿宋" w:hAnsi="仿宋" w:eastAsia="仿宋" w:cs="仿宋"/>
          <w:kern w:val="0"/>
          <w:sz w:val="28"/>
          <w:szCs w:val="28"/>
        </w:rPr>
        <w:t>的。</w:t>
      </w:r>
    </w:p>
    <w:p>
      <w:pPr>
        <w:pStyle w:val="2"/>
      </w:pPr>
    </w:p>
    <w:p>
      <w:pPr>
        <w:widowControl/>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六</w:t>
      </w:r>
      <w:r>
        <w:rPr>
          <w:rFonts w:hint="eastAsia" w:ascii="仿宋" w:hAnsi="仿宋" w:eastAsia="仿宋" w:cs="仿宋"/>
          <w:kern w:val="0"/>
          <w:sz w:val="28"/>
          <w:szCs w:val="28"/>
          <w:lang w:val="zh-CN"/>
        </w:rPr>
        <w:t>、确定中</w:t>
      </w:r>
      <w:r>
        <w:rPr>
          <w:rFonts w:hint="eastAsia" w:ascii="仿宋" w:hAnsi="仿宋" w:eastAsia="仿宋" w:cs="仿宋"/>
          <w:kern w:val="0"/>
          <w:sz w:val="28"/>
          <w:szCs w:val="28"/>
        </w:rPr>
        <w:t>选</w:t>
      </w:r>
      <w:r>
        <w:rPr>
          <w:rFonts w:hint="eastAsia" w:ascii="仿宋" w:hAnsi="仿宋" w:eastAsia="仿宋" w:cs="仿宋"/>
          <w:kern w:val="0"/>
          <w:sz w:val="28"/>
          <w:szCs w:val="28"/>
          <w:lang w:val="zh-CN"/>
        </w:rPr>
        <w:t>人</w:t>
      </w:r>
    </w:p>
    <w:p>
      <w:pPr>
        <w:widowControl/>
        <w:spacing w:line="480" w:lineRule="exact"/>
        <w:ind w:firstLine="560" w:firstLineChars="200"/>
        <w:jc w:val="left"/>
        <w:rPr>
          <w:rFonts w:ascii="仿宋" w:hAnsi="仿宋" w:eastAsia="仿宋" w:cs="仿宋"/>
          <w:bCs/>
          <w:sz w:val="28"/>
          <w:szCs w:val="28"/>
        </w:rPr>
      </w:pPr>
      <w:r>
        <w:rPr>
          <w:rFonts w:hint="eastAsia" w:ascii="仿宋" w:hAnsi="仿宋" w:eastAsia="仿宋" w:cs="仿宋"/>
          <w:sz w:val="28"/>
          <w:szCs w:val="28"/>
        </w:rPr>
        <w:t>经公示无异议，</w:t>
      </w:r>
      <w:r>
        <w:rPr>
          <w:rFonts w:hint="eastAsia" w:ascii="仿宋" w:hAnsi="仿宋" w:eastAsia="仿宋" w:cs="仿宋"/>
          <w:kern w:val="0"/>
          <w:sz w:val="28"/>
          <w:szCs w:val="28"/>
        </w:rPr>
        <w:t>评选</w:t>
      </w:r>
      <w:r>
        <w:rPr>
          <w:rFonts w:hint="eastAsia" w:ascii="仿宋" w:hAnsi="仿宋" w:eastAsia="仿宋" w:cs="仿宋"/>
          <w:sz w:val="28"/>
          <w:szCs w:val="28"/>
        </w:rPr>
        <w:t>单位将确定本次评选的中选人，并向中选人发出中选通知书。若</w:t>
      </w:r>
      <w:r>
        <w:rPr>
          <w:rFonts w:hint="eastAsia" w:ascii="仿宋" w:hAnsi="仿宋" w:eastAsia="仿宋" w:cs="仿宋"/>
          <w:bCs/>
          <w:sz w:val="28"/>
          <w:szCs w:val="28"/>
        </w:rPr>
        <w:t>中选人放弃中选、或提出书面说明不能履行合同的，评选人将依次从候选人中补齐中选人。如果出现并列的情况，评选人有权自行从中确定中选人，其他评选申请人不得有异议。</w:t>
      </w:r>
    </w:p>
    <w:p>
      <w:pPr>
        <w:pStyle w:val="2"/>
      </w:pPr>
    </w:p>
    <w:p>
      <w:pPr>
        <w:widowControl/>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七</w:t>
      </w:r>
      <w:r>
        <w:rPr>
          <w:rFonts w:hint="eastAsia" w:ascii="仿宋" w:hAnsi="仿宋" w:eastAsia="仿宋" w:cs="仿宋"/>
          <w:kern w:val="0"/>
          <w:sz w:val="28"/>
          <w:szCs w:val="28"/>
          <w:lang w:val="zh-CN"/>
        </w:rPr>
        <w:t>、合同签订</w:t>
      </w:r>
    </w:p>
    <w:p>
      <w:pPr>
        <w:widowControl/>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自中选通知书发出后</w:t>
      </w:r>
      <w:r>
        <w:rPr>
          <w:rFonts w:hint="eastAsia" w:ascii="仿宋" w:hAnsi="仿宋" w:eastAsia="仿宋" w:cs="仿宋"/>
          <w:kern w:val="0"/>
          <w:sz w:val="28"/>
          <w:szCs w:val="28"/>
        </w:rPr>
        <w:t>3</w:t>
      </w:r>
      <w:r>
        <w:rPr>
          <w:rFonts w:hint="eastAsia" w:ascii="仿宋" w:hAnsi="仿宋" w:eastAsia="仿宋" w:cs="仿宋"/>
          <w:kern w:val="0"/>
          <w:sz w:val="28"/>
          <w:szCs w:val="28"/>
          <w:lang w:val="zh-CN"/>
        </w:rPr>
        <w:t>日内，</w:t>
      </w:r>
      <w:r>
        <w:rPr>
          <w:rFonts w:hint="eastAsia" w:ascii="仿宋" w:hAnsi="仿宋" w:eastAsia="仿宋" w:cs="仿宋"/>
          <w:kern w:val="0"/>
          <w:sz w:val="28"/>
          <w:szCs w:val="28"/>
        </w:rPr>
        <w:t>评选</w:t>
      </w:r>
      <w:r>
        <w:rPr>
          <w:rFonts w:hint="eastAsia" w:ascii="仿宋" w:hAnsi="仿宋" w:eastAsia="仿宋" w:cs="仿宋"/>
          <w:kern w:val="0"/>
          <w:sz w:val="28"/>
          <w:szCs w:val="28"/>
          <w:lang w:val="zh-CN"/>
        </w:rPr>
        <w:t>人与中选人按</w:t>
      </w:r>
      <w:r>
        <w:rPr>
          <w:rFonts w:hint="eastAsia" w:ascii="仿宋" w:hAnsi="仿宋" w:eastAsia="仿宋" w:cs="仿宋"/>
          <w:kern w:val="0"/>
          <w:sz w:val="28"/>
          <w:szCs w:val="28"/>
        </w:rPr>
        <w:t>评选</w:t>
      </w:r>
      <w:r>
        <w:rPr>
          <w:rFonts w:hint="eastAsia" w:ascii="仿宋" w:hAnsi="仿宋" w:eastAsia="仿宋" w:cs="仿宋"/>
          <w:kern w:val="0"/>
          <w:sz w:val="28"/>
          <w:szCs w:val="28"/>
          <w:lang w:val="zh-CN"/>
        </w:rPr>
        <w:t>文件和中选人的评选申请书的有关内容洽谈并签订合同。</w:t>
      </w:r>
    </w:p>
    <w:p>
      <w:pPr>
        <w:widowControl/>
        <w:spacing w:line="360" w:lineRule="auto"/>
        <w:ind w:firstLine="640" w:firstLineChars="200"/>
        <w:jc w:val="left"/>
        <w:rPr>
          <w:rFonts w:ascii="宋体" w:hAnsi="宋体" w:cs="宋体"/>
          <w:kern w:val="0"/>
          <w:sz w:val="32"/>
          <w:szCs w:val="32"/>
          <w:lang w:val="zh-CN"/>
        </w:rPr>
      </w:pPr>
    </w:p>
    <w:p>
      <w:pPr>
        <w:jc w:val="center"/>
        <w:outlineLvl w:val="0"/>
        <w:rPr>
          <w:rFonts w:ascii="宋体" w:hAnsi="宋体" w:cs="宋体"/>
          <w:bCs/>
          <w:kern w:val="0"/>
          <w:sz w:val="36"/>
          <w:szCs w:val="36"/>
          <w:lang w:val="zh-CN"/>
        </w:rPr>
      </w:pPr>
      <w:r>
        <w:rPr>
          <w:rFonts w:hint="eastAsia" w:ascii="宋体" w:hAnsi="宋体" w:cs="宋体"/>
          <w:kern w:val="0"/>
          <w:szCs w:val="32"/>
          <w:lang w:val="zh-CN"/>
        </w:rPr>
        <w:br w:type="page"/>
      </w:r>
      <w:bookmarkStart w:id="3" w:name="_Toc23440"/>
      <w:r>
        <w:rPr>
          <w:rFonts w:hint="eastAsia" w:ascii="仿宋" w:hAnsi="仿宋" w:eastAsia="仿宋"/>
          <w:b/>
          <w:bCs/>
          <w:kern w:val="44"/>
          <w:sz w:val="36"/>
          <w:szCs w:val="36"/>
          <w:lang w:val="zh-CN"/>
        </w:rPr>
        <w:t>第三部分 评选申请书的格式</w:t>
      </w:r>
      <w:bookmarkEnd w:id="3"/>
    </w:p>
    <w:p>
      <w:pPr>
        <w:spacing w:line="480" w:lineRule="exact"/>
        <w:ind w:firstLine="537" w:firstLineChars="192"/>
        <w:rPr>
          <w:rFonts w:ascii="仿宋" w:hAnsi="仿宋" w:eastAsia="仿宋" w:cs="仿宋"/>
          <w:sz w:val="28"/>
          <w:szCs w:val="28"/>
        </w:rPr>
      </w:pPr>
      <w:r>
        <w:rPr>
          <w:rFonts w:hint="eastAsia" w:ascii="仿宋" w:hAnsi="仿宋" w:eastAsia="仿宋" w:cs="仿宋"/>
          <w:sz w:val="28"/>
          <w:szCs w:val="28"/>
        </w:rPr>
        <w:t>1、评选申请人按“评选申请书的格式”编制评选申请书。评选文件未规定格式的，由评选申请人根据实际情况自主编制。</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2、评选申请人应在评选申请书封面和《法定代表人授权书》中的“评选申请人”一栏填上评选申请人的全称并加盖公章。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3、评选申请书中的表格或空格如填写不下，可编辑扩充或另附页。除形式外，评选申请人不得改变其内容要求。</w:t>
      </w:r>
    </w:p>
    <w:p>
      <w:pPr>
        <w:rPr>
          <w:rFonts w:ascii="宋体" w:hAnsi="宋体" w:cs="宋体"/>
          <w:bCs/>
          <w:szCs w:val="32"/>
        </w:rPr>
      </w:pPr>
      <w:r>
        <w:rPr>
          <w:rFonts w:hint="eastAsia" w:ascii="宋体" w:hAnsi="宋体" w:cs="宋体"/>
          <w:b/>
          <w:sz w:val="24"/>
        </w:rPr>
        <w:br w:type="page"/>
      </w:r>
      <w:r>
        <w:rPr>
          <w:rFonts w:hint="eastAsia" w:ascii="仿宋" w:hAnsi="仿宋" w:eastAsia="仿宋"/>
          <w:b/>
          <w:sz w:val="32"/>
          <w:szCs w:val="32"/>
          <w:lang w:val="zh-CN"/>
        </w:rPr>
        <w:t>评选申请书封面</w:t>
      </w:r>
    </w:p>
    <w:p>
      <w:pPr>
        <w:spacing w:line="360" w:lineRule="auto"/>
        <w:rPr>
          <w:rFonts w:ascii="宋体" w:hAnsi="宋体" w:cs="宋体"/>
          <w:b/>
          <w:sz w:val="28"/>
          <w:szCs w:val="28"/>
        </w:rPr>
      </w:pPr>
    </w:p>
    <w:p>
      <w:pPr>
        <w:spacing w:after="160" w:line="360" w:lineRule="auto"/>
        <w:jc w:val="right"/>
        <w:rPr>
          <w:rFonts w:ascii="仿宋" w:hAnsi="仿宋" w:eastAsia="仿宋"/>
          <w:b/>
          <w:sz w:val="36"/>
        </w:rPr>
      </w:pPr>
      <w:r>
        <w:rPr>
          <w:rFonts w:hint="eastAsia" w:ascii="仿宋" w:hAnsi="仿宋" w:eastAsia="仿宋"/>
          <w:b/>
          <w:sz w:val="36"/>
        </w:rPr>
        <w:t>正本(或副本)</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40"/>
          <w:szCs w:val="48"/>
        </w:rPr>
      </w:pPr>
      <w:r>
        <w:rPr>
          <w:rFonts w:hint="eastAsia" w:ascii="仿宋" w:hAnsi="仿宋" w:eastAsia="仿宋"/>
          <w:b/>
          <w:sz w:val="40"/>
          <w:szCs w:val="48"/>
        </w:rPr>
        <w:t>甘洛县人民医院医学图像处理软件公开综合评选项目综合评选</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52"/>
          <w:szCs w:val="52"/>
        </w:rPr>
      </w:pPr>
    </w:p>
    <w:p>
      <w:pPr>
        <w:spacing w:after="160" w:line="360" w:lineRule="auto"/>
        <w:jc w:val="center"/>
        <w:outlineLvl w:val="1"/>
        <w:rPr>
          <w:rFonts w:ascii="仿宋" w:hAnsi="仿宋" w:eastAsia="仿宋"/>
          <w:b/>
          <w:sz w:val="52"/>
          <w:szCs w:val="52"/>
          <w:lang w:val="zh-CN"/>
        </w:rPr>
      </w:pPr>
      <w:bookmarkStart w:id="4" w:name="_Toc2828"/>
      <w:r>
        <w:rPr>
          <w:rFonts w:hint="eastAsia" w:ascii="仿宋" w:hAnsi="仿宋" w:eastAsia="仿宋"/>
          <w:b/>
          <w:sz w:val="52"/>
          <w:szCs w:val="52"/>
          <w:lang w:val="zh-CN"/>
        </w:rPr>
        <w:t>评选申请书</w:t>
      </w:r>
      <w:bookmarkEnd w:id="4"/>
    </w:p>
    <w:p>
      <w:pPr>
        <w:autoSpaceDE w:val="0"/>
        <w:autoSpaceDN w:val="0"/>
        <w:adjustRightInd w:val="0"/>
        <w:spacing w:line="360" w:lineRule="auto"/>
        <w:jc w:val="center"/>
        <w:rPr>
          <w:rFonts w:ascii="宋体" w:hAnsi="宋体" w:cs="宋体"/>
          <w:kern w:val="0"/>
          <w:sz w:val="32"/>
          <w:szCs w:val="32"/>
          <w:lang w:val="zh-CN"/>
        </w:rPr>
      </w:pPr>
    </w:p>
    <w:p>
      <w:pPr>
        <w:autoSpaceDE w:val="0"/>
        <w:autoSpaceDN w:val="0"/>
        <w:adjustRightInd w:val="0"/>
        <w:spacing w:line="360" w:lineRule="auto"/>
        <w:ind w:firstLine="315" w:firstLineChars="98"/>
        <w:rPr>
          <w:rFonts w:ascii="宋体" w:hAnsi="宋体" w:cs="宋体"/>
          <w:b/>
          <w:kern w:val="0"/>
          <w:sz w:val="32"/>
          <w:szCs w:val="32"/>
          <w:lang w:val="zh-CN"/>
        </w:rPr>
      </w:pPr>
    </w:p>
    <w:p>
      <w:pPr>
        <w:spacing w:after="160" w:line="360" w:lineRule="auto"/>
        <w:jc w:val="left"/>
        <w:rPr>
          <w:rFonts w:ascii="仿宋" w:hAnsi="仿宋" w:eastAsia="仿宋"/>
          <w:b/>
          <w:sz w:val="32"/>
          <w:lang w:val="zh-CN"/>
        </w:rPr>
      </w:pPr>
      <w:r>
        <w:rPr>
          <w:rFonts w:hint="eastAsia" w:ascii="仿宋" w:hAnsi="仿宋" w:eastAsia="仿宋"/>
          <w:b/>
          <w:sz w:val="32"/>
          <w:lang w:val="en-US" w:eastAsia="zh-CN"/>
        </w:rPr>
        <w:t>投标人名称</w:t>
      </w:r>
      <w:bookmarkStart w:id="9" w:name="_GoBack"/>
      <w:bookmarkEnd w:id="9"/>
      <w:r>
        <w:rPr>
          <w:rFonts w:hint="eastAsia" w:ascii="仿宋" w:hAnsi="仿宋" w:eastAsia="仿宋"/>
          <w:b/>
          <w:sz w:val="32"/>
          <w:lang w:val="zh-CN"/>
        </w:rPr>
        <w:t>：</w:t>
      </w:r>
      <w:r>
        <w:rPr>
          <w:rFonts w:hint="eastAsia" w:ascii="仿宋" w:hAnsi="仿宋" w:eastAsia="仿宋"/>
          <w:b/>
          <w:sz w:val="32"/>
          <w:u w:val="single"/>
        </w:rPr>
        <w:t xml:space="preserve">           </w:t>
      </w:r>
      <w:r>
        <w:rPr>
          <w:rFonts w:hint="eastAsia" w:ascii="仿宋" w:hAnsi="仿宋" w:eastAsia="仿宋"/>
          <w:b/>
          <w:sz w:val="32"/>
        </w:rPr>
        <w:t xml:space="preserve">（全称并加盖单位公章）       </w:t>
      </w:r>
    </w:p>
    <w:p>
      <w:pPr>
        <w:spacing w:after="160" w:line="360" w:lineRule="auto"/>
        <w:jc w:val="left"/>
        <w:rPr>
          <w:rFonts w:ascii="仿宋" w:hAnsi="仿宋" w:eastAsia="仿宋"/>
          <w:b/>
          <w:sz w:val="32"/>
        </w:rPr>
      </w:pPr>
      <w:r>
        <w:rPr>
          <w:rFonts w:hint="eastAsia" w:ascii="仿宋" w:hAnsi="仿宋" w:eastAsia="仿宋"/>
          <w:b/>
          <w:sz w:val="32"/>
        </w:rPr>
        <w:t>申 请 时 间：</w:t>
      </w:r>
      <w:r>
        <w:rPr>
          <w:rFonts w:hint="eastAsia" w:ascii="仿宋" w:hAnsi="仿宋" w:eastAsia="仿宋"/>
          <w:b/>
          <w:sz w:val="32"/>
          <w:u w:val="single"/>
        </w:rPr>
        <w:t xml:space="preserve">     </w:t>
      </w:r>
      <w:r>
        <w:rPr>
          <w:rFonts w:hint="eastAsia" w:ascii="仿宋" w:hAnsi="仿宋" w:eastAsia="仿宋"/>
          <w:b/>
          <w:sz w:val="32"/>
        </w:rPr>
        <w:t>年</w:t>
      </w:r>
      <w:r>
        <w:rPr>
          <w:rFonts w:hint="eastAsia" w:ascii="仿宋" w:hAnsi="仿宋" w:eastAsia="仿宋"/>
          <w:b/>
          <w:sz w:val="32"/>
          <w:u w:val="single"/>
        </w:rPr>
        <w:t xml:space="preserve">   </w:t>
      </w:r>
      <w:r>
        <w:rPr>
          <w:rFonts w:hint="eastAsia" w:ascii="仿宋" w:hAnsi="仿宋" w:eastAsia="仿宋"/>
          <w:b/>
          <w:sz w:val="32"/>
        </w:rPr>
        <w:t>月</w:t>
      </w:r>
      <w:r>
        <w:rPr>
          <w:rFonts w:hint="eastAsia" w:ascii="仿宋" w:hAnsi="仿宋" w:eastAsia="仿宋"/>
          <w:b/>
          <w:sz w:val="32"/>
          <w:u w:val="single"/>
        </w:rPr>
        <w:t xml:space="preserve">   </w:t>
      </w:r>
      <w:r>
        <w:rPr>
          <w:rFonts w:hint="eastAsia" w:ascii="仿宋" w:hAnsi="仿宋" w:eastAsia="仿宋"/>
          <w:b/>
          <w:sz w:val="32"/>
        </w:rPr>
        <w:t xml:space="preserve">日                   </w:t>
      </w:r>
    </w:p>
    <w:p>
      <w:pPr>
        <w:spacing w:after="160" w:line="360" w:lineRule="auto"/>
        <w:jc w:val="left"/>
        <w:rPr>
          <w:rFonts w:ascii="仿宋" w:hAnsi="仿宋" w:eastAsia="仿宋"/>
          <w:b/>
          <w:sz w:val="32"/>
          <w:u w:val="single"/>
        </w:rPr>
      </w:pPr>
      <w:r>
        <w:rPr>
          <w:rFonts w:hint="eastAsia" w:ascii="仿宋" w:hAnsi="仿宋" w:eastAsia="仿宋"/>
          <w:b/>
          <w:sz w:val="32"/>
        </w:rPr>
        <w:t>联系电话:</w:t>
      </w:r>
    </w:p>
    <w:p>
      <w:pPr>
        <w:spacing w:line="360" w:lineRule="auto"/>
        <w:jc w:val="center"/>
        <w:rPr>
          <w:rFonts w:ascii="宋体" w:hAnsi="宋体" w:cs="宋体"/>
          <w:b/>
          <w:sz w:val="28"/>
          <w:szCs w:val="28"/>
        </w:rPr>
      </w:pPr>
    </w:p>
    <w:p>
      <w:pPr>
        <w:spacing w:line="360" w:lineRule="auto"/>
        <w:jc w:val="center"/>
        <w:rPr>
          <w:rFonts w:ascii="宋体" w:hAnsi="宋体" w:cs="宋体"/>
          <w:sz w:val="28"/>
          <w:szCs w:val="28"/>
        </w:rPr>
      </w:pPr>
      <w:r>
        <w:rPr>
          <w:rFonts w:hint="eastAsia" w:ascii="宋体" w:hAnsi="宋体" w:cs="宋体"/>
          <w:b/>
          <w:sz w:val="28"/>
          <w:szCs w:val="28"/>
        </w:rPr>
        <w:t>评选申请书递交截止时间之前不得启封</w:t>
      </w:r>
    </w:p>
    <w:p>
      <w:pPr>
        <w:outlineLvl w:val="1"/>
        <w:rPr>
          <w:rFonts w:ascii="宋体" w:hAnsi="宋体" w:cs="宋体"/>
          <w:bCs/>
          <w:szCs w:val="32"/>
        </w:rPr>
      </w:pPr>
      <w:r>
        <w:rPr>
          <w:rFonts w:hint="eastAsia" w:ascii="宋体" w:hAnsi="宋体" w:cs="宋体"/>
          <w:bCs/>
          <w:szCs w:val="32"/>
        </w:rPr>
        <w:br w:type="page"/>
      </w:r>
      <w:bookmarkStart w:id="5" w:name="_Toc28620"/>
      <w:r>
        <w:rPr>
          <w:rFonts w:hint="eastAsia" w:ascii="仿宋" w:hAnsi="仿宋" w:eastAsia="仿宋"/>
          <w:b/>
          <w:sz w:val="32"/>
          <w:szCs w:val="32"/>
          <w:lang w:val="zh-CN"/>
        </w:rPr>
        <w:t>1、</w:t>
      </w:r>
      <w:r>
        <w:rPr>
          <w:rFonts w:hint="eastAsia" w:ascii="仿宋" w:hAnsi="仿宋" w:eastAsia="仿宋"/>
          <w:b/>
          <w:sz w:val="32"/>
          <w:szCs w:val="32"/>
        </w:rPr>
        <w:t>投</w:t>
      </w:r>
      <w:r>
        <w:rPr>
          <w:rFonts w:hint="eastAsia" w:ascii="仿宋" w:hAnsi="仿宋" w:eastAsia="仿宋"/>
          <w:b/>
          <w:sz w:val="32"/>
          <w:szCs w:val="32"/>
          <w:lang w:val="zh-CN"/>
        </w:rPr>
        <w:t>标申请</w:t>
      </w:r>
      <w:bookmarkEnd w:id="5"/>
    </w:p>
    <w:p>
      <w:pPr>
        <w:spacing w:line="480" w:lineRule="exact"/>
        <w:rPr>
          <w:rFonts w:ascii="仿宋" w:hAnsi="仿宋" w:eastAsia="仿宋" w:cs="仿宋"/>
          <w:sz w:val="28"/>
          <w:szCs w:val="28"/>
        </w:rPr>
      </w:pPr>
      <w:r>
        <w:rPr>
          <w:rFonts w:hint="eastAsia" w:ascii="仿宋" w:hAnsi="仿宋" w:eastAsia="仿宋" w:cs="仿宋"/>
          <w:sz w:val="28"/>
          <w:szCs w:val="28"/>
        </w:rPr>
        <w:t>致：_______________（评选单位）</w:t>
      </w:r>
    </w:p>
    <w:p>
      <w:pPr>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一、我公司非常愿意参加此项目医学图像处理软件的评选。作为</w:t>
      </w:r>
      <w:r>
        <w:rPr>
          <w:rFonts w:hint="eastAsia" w:ascii="仿宋" w:hAnsi="仿宋" w:eastAsia="仿宋" w:cs="仿宋"/>
          <w:sz w:val="28"/>
          <w:szCs w:val="28"/>
          <w:u w:val="single"/>
        </w:rPr>
        <w:t xml:space="preserve">       </w:t>
      </w:r>
      <w:r>
        <w:rPr>
          <w:rFonts w:hint="eastAsia" w:ascii="仿宋" w:hAnsi="仿宋" w:eastAsia="仿宋" w:cs="仿宋"/>
          <w:sz w:val="28"/>
          <w:szCs w:val="28"/>
        </w:rPr>
        <w:t>（评选申请人）合法行使其职责的代表，在审查和完全理解了所提供的所有评选文件后，以下签字人在此作为本公司代表为获得____________（项目名称）的委托招标代理合同参加你们组织的医学图像处理软件评选。</w:t>
      </w:r>
    </w:p>
    <w:p>
      <w:pPr>
        <w:pStyle w:val="3"/>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二、我公司对提交的所有评选申请文件负责。你方的机构或授权单位可对我公司进行查询或调查，以证实有关本申请提交的声明、文件和资料的真实性。</w:t>
      </w:r>
    </w:p>
    <w:p>
      <w:pPr>
        <w:pStyle w:val="7"/>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三、我公司完全理解评选单位因法律和政策原因取消评选以及拒绝所有的评选申请文件，并对此类任何行动不承担任何责任。</w:t>
      </w:r>
    </w:p>
    <w:p>
      <w:pPr>
        <w:spacing w:line="480" w:lineRule="exact"/>
        <w:rPr>
          <w:rFonts w:ascii="宋体" w:hAnsi="宋体" w:cs="宋体"/>
          <w:sz w:val="32"/>
          <w:szCs w:val="32"/>
        </w:rPr>
      </w:pPr>
    </w:p>
    <w:p>
      <w:pPr>
        <w:spacing w:line="480" w:lineRule="exact"/>
        <w:rPr>
          <w:rFonts w:ascii="仿宋" w:hAnsi="仿宋" w:eastAsia="仿宋" w:cs="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法定代表人或委托代理人：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r>
        <w:rPr>
          <w:rFonts w:ascii="仿宋" w:hAnsi="仿宋" w:eastAsia="仿宋" w:cs="仿宋"/>
          <w:sz w:val="28"/>
          <w:szCs w:val="28"/>
        </w:rPr>
        <w:t>或盖章</w:t>
      </w:r>
      <w:r>
        <w:rPr>
          <w:rFonts w:hint="eastAsia" w:ascii="仿宋" w:hAnsi="仿宋" w:eastAsia="仿宋" w:cs="仿宋"/>
          <w:sz w:val="28"/>
          <w:szCs w:val="28"/>
        </w:rPr>
        <w:t xml:space="preserve">）  </w:t>
      </w:r>
    </w:p>
    <w:p>
      <w:pPr>
        <w:keepNext/>
        <w:keepLines/>
        <w:spacing w:line="480" w:lineRule="exact"/>
        <w:rPr>
          <w:rFonts w:ascii="仿宋" w:hAnsi="仿宋" w:eastAsia="仿宋" w:cs="仿宋"/>
          <w:sz w:val="28"/>
          <w:szCs w:val="28"/>
        </w:rPr>
      </w:pPr>
      <w:r>
        <w:rPr>
          <w:rFonts w:hint="eastAsia" w:ascii="仿宋" w:hAnsi="仿宋" w:eastAsia="仿宋" w:cs="仿宋"/>
          <w:sz w:val="28"/>
          <w:szCs w:val="28"/>
        </w:rPr>
        <w:t>日期：_____年___月___日</w:t>
      </w:r>
    </w:p>
    <w:p>
      <w:pPr>
        <w:outlineLvl w:val="1"/>
        <w:rPr>
          <w:rFonts w:ascii="宋体" w:hAnsi="宋体" w:cs="宋体"/>
          <w:bCs/>
          <w:szCs w:val="32"/>
        </w:rPr>
      </w:pPr>
      <w:r>
        <w:rPr>
          <w:rFonts w:hint="eastAsia" w:ascii="宋体" w:hAnsi="宋体" w:cs="宋体"/>
          <w:bCs/>
          <w:szCs w:val="32"/>
        </w:rPr>
        <w:br w:type="page"/>
      </w:r>
      <w:bookmarkStart w:id="6" w:name="_Toc9634"/>
      <w:r>
        <w:rPr>
          <w:rFonts w:hint="eastAsia" w:ascii="仿宋" w:hAnsi="仿宋" w:eastAsia="仿宋"/>
          <w:b/>
          <w:sz w:val="32"/>
          <w:szCs w:val="32"/>
          <w:lang w:val="zh-CN"/>
        </w:rPr>
        <w:t>2、法定代表人授权书</w:t>
      </w:r>
      <w:bookmarkEnd w:id="6"/>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(姓名) </w:t>
      </w:r>
      <w:r>
        <w:rPr>
          <w:rFonts w:hint="eastAsia" w:ascii="仿宋" w:hAnsi="仿宋" w:eastAsia="仿宋" w:cs="仿宋"/>
          <w:sz w:val="28"/>
          <w:szCs w:val="28"/>
        </w:rPr>
        <w:t>系</w:t>
      </w:r>
      <w:r>
        <w:rPr>
          <w:rFonts w:hint="eastAsia" w:ascii="仿宋" w:hAnsi="仿宋" w:eastAsia="仿宋" w:cs="仿宋"/>
          <w:sz w:val="28"/>
          <w:szCs w:val="28"/>
          <w:u w:val="single"/>
        </w:rPr>
        <w:t xml:space="preserve">     (评选申请人)</w:t>
      </w:r>
      <w:r>
        <w:rPr>
          <w:rFonts w:hint="eastAsia" w:ascii="仿宋" w:hAnsi="仿宋" w:eastAsia="仿宋" w:cs="仿宋"/>
          <w:sz w:val="28"/>
          <w:szCs w:val="28"/>
        </w:rPr>
        <w:t>的法定代表人，现授权</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为我公司委托代理人，以本公司的名义参加</w:t>
      </w:r>
      <w:r>
        <w:rPr>
          <w:rFonts w:hint="eastAsia" w:ascii="仿宋" w:hAnsi="仿宋" w:eastAsia="仿宋" w:cs="仿宋"/>
          <w:b/>
          <w:bCs/>
          <w:sz w:val="28"/>
          <w:szCs w:val="28"/>
          <w:u w:val="single"/>
        </w:rPr>
        <w:t xml:space="preserve">         </w:t>
      </w:r>
      <w:r>
        <w:rPr>
          <w:rFonts w:hint="eastAsia" w:ascii="仿宋" w:hAnsi="仿宋" w:eastAsia="仿宋" w:cs="仿宋"/>
          <w:sz w:val="28"/>
          <w:szCs w:val="28"/>
        </w:rPr>
        <w:t>（项目名称）活动。委托代理人在医学图像处理软件评选活动和委托合同谈判过程中所签署的一切文件和处理与之有关的一切事务，我及我公司均予以承认并全部承担其所产生的所有权利和义务。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委托代理人无转委托权。特此委托。</w:t>
      </w:r>
    </w:p>
    <w:p>
      <w:pPr>
        <w:spacing w:line="480" w:lineRule="exact"/>
        <w:ind w:firstLine="560" w:firstLineChars="200"/>
        <w:rPr>
          <w:rFonts w:ascii="仿宋" w:hAnsi="仿宋" w:eastAsia="仿宋" w:cs="仿宋"/>
          <w:sz w:val="28"/>
          <w:szCs w:val="28"/>
        </w:rPr>
      </w:pPr>
    </w:p>
    <w:p>
      <w:pPr>
        <w:spacing w:line="480" w:lineRule="exact"/>
        <w:rPr>
          <w:rFonts w:ascii="仿宋" w:hAnsi="仿宋" w:eastAsia="仿宋" w:cs="仿宋"/>
          <w:sz w:val="28"/>
          <w:szCs w:val="28"/>
          <w:u w:val="single"/>
        </w:rPr>
      </w:pPr>
    </w:p>
    <w:p>
      <w:pPr>
        <w:spacing w:line="480" w:lineRule="exact"/>
        <w:rPr>
          <w:rFonts w:ascii="仿宋" w:hAnsi="仿宋" w:eastAsia="仿宋" w:cs="仿宋"/>
          <w:sz w:val="28"/>
          <w:szCs w:val="28"/>
        </w:rPr>
      </w:pPr>
      <w:r>
        <w:rPr>
          <w:rFonts w:hint="eastAsia" w:ascii="仿宋" w:hAnsi="仿宋" w:eastAsia="仿宋" w:cs="仿宋"/>
          <w:sz w:val="28"/>
          <w:szCs w:val="28"/>
        </w:rPr>
        <w:t>授权人(法定代表人)：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right"/>
        <w:rPr>
          <w:rFonts w:ascii="宋体" w:hAnsi="宋体" w:cs="宋体"/>
          <w:sz w:val="32"/>
          <w:szCs w:val="32"/>
        </w:rPr>
      </w:pPr>
    </w:p>
    <w:p>
      <w:pPr>
        <w:jc w:val="center"/>
        <w:outlineLvl w:val="1"/>
        <w:rPr>
          <w:rFonts w:ascii="宋体" w:hAnsi="宋体" w:cs="宋体"/>
        </w:rPr>
      </w:pPr>
      <w:r>
        <w:rPr>
          <w:rFonts w:hint="eastAsia" w:ascii="宋体" w:hAnsi="宋体" w:cs="宋体"/>
          <w:kern w:val="0"/>
          <w:sz w:val="36"/>
          <w:szCs w:val="36"/>
          <w:lang w:val="zh-CN"/>
        </w:rPr>
        <w:br w:type="page"/>
      </w:r>
      <w:bookmarkStart w:id="7" w:name="_Toc10060"/>
      <w:r>
        <w:rPr>
          <w:rFonts w:hint="eastAsia" w:ascii="仿宋" w:hAnsi="仿宋" w:eastAsia="仿宋"/>
          <w:b/>
          <w:bCs/>
          <w:sz w:val="36"/>
          <w:szCs w:val="36"/>
          <w:lang w:val="zh-CN"/>
        </w:rPr>
        <w:t xml:space="preserve">第四部分 </w:t>
      </w:r>
      <w:bookmarkEnd w:id="7"/>
      <w:r>
        <w:rPr>
          <w:rFonts w:hint="eastAsia" w:ascii="仿宋" w:hAnsi="仿宋" w:eastAsia="仿宋"/>
          <w:b/>
          <w:bCs/>
          <w:sz w:val="36"/>
          <w:szCs w:val="36"/>
          <w:lang w:val="zh-CN"/>
        </w:rPr>
        <w:t>产品参数部分</w:t>
      </w:r>
    </w:p>
    <w:p>
      <w:pPr>
        <w:spacing w:line="360" w:lineRule="auto"/>
        <w:ind w:firstLine="480" w:firstLineChars="200"/>
        <w:outlineLvl w:val="1"/>
        <w:rPr>
          <w:sz w:val="24"/>
        </w:rPr>
      </w:pPr>
      <w:r>
        <w:rPr>
          <w:rFonts w:hint="eastAsia"/>
          <w:sz w:val="24"/>
        </w:rPr>
        <w:t>一、采购清单</w:t>
      </w:r>
    </w:p>
    <w:tbl>
      <w:tblPr>
        <w:tblStyle w:val="19"/>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8"/>
        <w:gridCol w:w="1046"/>
        <w:gridCol w:w="104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883" w:type="dxa"/>
            <w:vAlign w:val="center"/>
          </w:tcPr>
          <w:p>
            <w:pPr>
              <w:jc w:val="center"/>
              <w:rPr>
                <w:sz w:val="24"/>
              </w:rPr>
            </w:pPr>
            <w:r>
              <w:rPr>
                <w:rFonts w:hint="eastAsia"/>
                <w:sz w:val="24"/>
              </w:rPr>
              <w:t>序号</w:t>
            </w:r>
          </w:p>
        </w:tc>
        <w:tc>
          <w:tcPr>
            <w:tcW w:w="4018" w:type="dxa"/>
            <w:vAlign w:val="center"/>
          </w:tcPr>
          <w:p>
            <w:pPr>
              <w:jc w:val="center"/>
              <w:rPr>
                <w:sz w:val="24"/>
              </w:rPr>
            </w:pPr>
            <w:r>
              <w:rPr>
                <w:rFonts w:hint="eastAsia"/>
                <w:sz w:val="24"/>
              </w:rPr>
              <w:t>名称</w:t>
            </w:r>
          </w:p>
        </w:tc>
        <w:tc>
          <w:tcPr>
            <w:tcW w:w="1046" w:type="dxa"/>
            <w:vAlign w:val="center"/>
          </w:tcPr>
          <w:p>
            <w:pPr>
              <w:jc w:val="center"/>
              <w:rPr>
                <w:sz w:val="24"/>
              </w:rPr>
            </w:pPr>
            <w:r>
              <w:rPr>
                <w:rFonts w:hint="eastAsia"/>
                <w:sz w:val="24"/>
              </w:rPr>
              <w:t>维保期</w:t>
            </w:r>
          </w:p>
        </w:tc>
        <w:tc>
          <w:tcPr>
            <w:tcW w:w="1046" w:type="dxa"/>
            <w:vAlign w:val="center"/>
          </w:tcPr>
          <w:p>
            <w:pPr>
              <w:jc w:val="center"/>
              <w:rPr>
                <w:sz w:val="24"/>
              </w:rPr>
            </w:pPr>
            <w:r>
              <w:rPr>
                <w:rFonts w:hint="eastAsia"/>
                <w:sz w:val="24"/>
              </w:rPr>
              <w:t>数量</w:t>
            </w:r>
          </w:p>
        </w:tc>
        <w:tc>
          <w:tcPr>
            <w:tcW w:w="1745" w:type="dxa"/>
            <w:vAlign w:val="center"/>
          </w:tcPr>
          <w:p>
            <w:pPr>
              <w:jc w:val="center"/>
              <w:rPr>
                <w:sz w:val="24"/>
              </w:rPr>
            </w:pPr>
            <w:r>
              <w:rPr>
                <w:rFonts w:hint="eastAsia"/>
                <w:sz w:val="24"/>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83" w:type="dxa"/>
            <w:vAlign w:val="center"/>
          </w:tcPr>
          <w:p>
            <w:pPr>
              <w:jc w:val="center"/>
              <w:rPr>
                <w:sz w:val="24"/>
              </w:rPr>
            </w:pPr>
            <w:r>
              <w:rPr>
                <w:sz w:val="24"/>
              </w:rPr>
              <w:t>1</w:t>
            </w:r>
          </w:p>
        </w:tc>
        <w:tc>
          <w:tcPr>
            <w:tcW w:w="4018" w:type="dxa"/>
            <w:vAlign w:val="center"/>
          </w:tcPr>
          <w:p>
            <w:pPr>
              <w:jc w:val="center"/>
              <w:rPr>
                <w:sz w:val="24"/>
              </w:rPr>
            </w:pPr>
            <w:r>
              <w:rPr>
                <w:rFonts w:hint="eastAsia"/>
                <w:bCs/>
                <w:szCs w:val="21"/>
              </w:rPr>
              <w:t>医学图像处理软件</w:t>
            </w:r>
          </w:p>
        </w:tc>
        <w:tc>
          <w:tcPr>
            <w:tcW w:w="1046" w:type="dxa"/>
            <w:vAlign w:val="center"/>
          </w:tcPr>
          <w:p>
            <w:pPr>
              <w:jc w:val="center"/>
              <w:rPr>
                <w:sz w:val="24"/>
              </w:rPr>
            </w:pPr>
            <w:r>
              <w:rPr>
                <w:rFonts w:hint="eastAsia"/>
                <w:sz w:val="24"/>
              </w:rPr>
              <w:t>1年</w:t>
            </w:r>
          </w:p>
        </w:tc>
        <w:tc>
          <w:tcPr>
            <w:tcW w:w="1046" w:type="dxa"/>
            <w:vAlign w:val="center"/>
          </w:tcPr>
          <w:p>
            <w:pPr>
              <w:jc w:val="center"/>
              <w:rPr>
                <w:sz w:val="24"/>
              </w:rPr>
            </w:pPr>
            <w:r>
              <w:rPr>
                <w:sz w:val="24"/>
              </w:rPr>
              <w:t>1</w:t>
            </w:r>
            <w:r>
              <w:rPr>
                <w:rFonts w:hint="eastAsia"/>
                <w:sz w:val="24"/>
              </w:rPr>
              <w:t>套</w:t>
            </w:r>
          </w:p>
        </w:tc>
        <w:tc>
          <w:tcPr>
            <w:tcW w:w="1745" w:type="dxa"/>
            <w:vAlign w:val="center"/>
          </w:tcPr>
          <w:p>
            <w:pPr>
              <w:jc w:val="center"/>
              <w:rPr>
                <w:sz w:val="24"/>
              </w:rPr>
            </w:pPr>
            <w:r>
              <w:rPr>
                <w:rFonts w:hint="eastAsia" w:ascii="仿宋" w:hAnsi="仿宋" w:eastAsia="仿宋" w:cs="仿宋"/>
                <w:color w:val="000000"/>
                <w:sz w:val="28"/>
                <w:szCs w:val="28"/>
                <w:lang w:val="en-US" w:eastAsia="zh-CN"/>
              </w:rPr>
              <w:t>28</w:t>
            </w:r>
            <w:r>
              <w:rPr>
                <w:rFonts w:hint="eastAsia"/>
                <w:sz w:val="24"/>
              </w:rPr>
              <w:t>万元</w:t>
            </w:r>
          </w:p>
        </w:tc>
      </w:tr>
    </w:tbl>
    <w:p>
      <w:pPr>
        <w:spacing w:line="360" w:lineRule="auto"/>
        <w:ind w:firstLine="480" w:firstLineChars="200"/>
        <w:outlineLvl w:val="1"/>
        <w:rPr>
          <w:sz w:val="24"/>
        </w:rPr>
      </w:pPr>
      <w:r>
        <w:rPr>
          <w:rFonts w:hint="eastAsia"/>
          <w:sz w:val="24"/>
        </w:rPr>
        <w:t>二、技术要求</w:t>
      </w:r>
    </w:p>
    <w:p>
      <w:pPr>
        <w:pStyle w:val="32"/>
        <w:numPr>
          <w:ilvl w:val="0"/>
          <w:numId w:val="2"/>
        </w:numPr>
        <w:spacing w:before="156" w:beforeLines="50" w:line="360" w:lineRule="auto"/>
        <w:ind w:firstLine="482"/>
        <w:rPr>
          <w:b/>
          <w:bCs/>
          <w:sz w:val="24"/>
        </w:rPr>
      </w:pPr>
      <w:bookmarkStart w:id="8" w:name="_Toc226172712"/>
      <w:r>
        <w:rPr>
          <w:rFonts w:hint="eastAsia"/>
          <w:b/>
          <w:bCs/>
          <w:sz w:val="24"/>
        </w:rPr>
        <w:t>系统技术规格及要求</w:t>
      </w:r>
    </w:p>
    <w:p>
      <w:pPr>
        <w:numPr>
          <w:ilvl w:val="0"/>
          <w:numId w:val="2"/>
        </w:numPr>
        <w:spacing w:before="156" w:beforeLines="50" w:line="360" w:lineRule="auto"/>
        <w:ind w:firstLine="480" w:firstLineChars="200"/>
        <w:rPr>
          <w:sz w:val="24"/>
        </w:rPr>
      </w:pPr>
      <w:r>
        <w:rPr>
          <w:rFonts w:hint="eastAsia"/>
          <w:sz w:val="24"/>
        </w:rPr>
        <w:t>安全要求：系统服务器必须在医院内网安装</w:t>
      </w:r>
      <w:r>
        <w:rPr>
          <w:rFonts w:hint="eastAsia"/>
          <w:sz w:val="24"/>
          <w:lang w:eastAsia="zh-CN"/>
        </w:rPr>
        <w:t>。</w:t>
      </w:r>
    </w:p>
    <w:p>
      <w:pPr>
        <w:numPr>
          <w:ilvl w:val="0"/>
          <w:numId w:val="2"/>
        </w:numPr>
        <w:spacing w:before="156" w:before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系统开发语言要求：系统开发语言采用跨平台、扩展性强的JAVA语言，同时采用</w:t>
      </w:r>
      <w:r>
        <w:rPr>
          <w:color w:val="000000" w:themeColor="text1"/>
          <w:sz w:val="24"/>
          <w:lang w:eastAsia="zh-Hans"/>
          <w14:textFill>
            <w14:solidFill>
              <w14:schemeClr w14:val="tx1"/>
            </w14:solidFill>
          </w14:textFill>
        </w:rPr>
        <w:t>B/S</w:t>
      </w:r>
      <w:r>
        <w:rPr>
          <w:rFonts w:hint="eastAsia"/>
          <w:color w:val="000000" w:themeColor="text1"/>
          <w:sz w:val="24"/>
          <w:lang w:eastAsia="zh-Hans"/>
          <w14:textFill>
            <w14:solidFill>
              <w14:schemeClr w14:val="tx1"/>
            </w14:solidFill>
          </w14:textFill>
        </w:rPr>
        <w:t>架构。</w:t>
      </w:r>
    </w:p>
    <w:p>
      <w:pPr>
        <w:numPr>
          <w:ilvl w:val="0"/>
          <w:numId w:val="2"/>
        </w:numPr>
        <w:spacing w:before="156" w:beforeLines="50" w:line="360" w:lineRule="auto"/>
        <w:ind w:firstLine="480" w:firstLineChars="200"/>
        <w:rPr>
          <w:color w:val="FF0000"/>
          <w:sz w:val="24"/>
        </w:rPr>
      </w:pPr>
      <w:r>
        <w:rPr>
          <w:rFonts w:hint="eastAsia"/>
          <w:color w:val="000000" w:themeColor="text1"/>
          <w:sz w:val="24"/>
          <w14:textFill>
            <w14:solidFill>
              <w14:schemeClr w14:val="tx1"/>
            </w14:solidFill>
          </w14:textFill>
        </w:rPr>
        <w:t>系统报价要求：本项目总价即完成本项目的全部内容的所有费用，包含但不限于</w:t>
      </w:r>
      <w:r>
        <w:rPr>
          <w:rFonts w:hint="eastAsia"/>
          <w:sz w:val="24"/>
        </w:rPr>
        <w:t>软件系统</w:t>
      </w:r>
      <w:r>
        <w:rPr>
          <w:rFonts w:hint="eastAsia"/>
          <w:sz w:val="24"/>
          <w:lang w:eastAsia="zh-Hans"/>
        </w:rPr>
        <w:t>的固定</w:t>
      </w:r>
      <w:r>
        <w:rPr>
          <w:rFonts w:hint="eastAsia"/>
          <w:sz w:val="24"/>
        </w:rPr>
        <w:t>开发、安装调试、维保费等。</w:t>
      </w:r>
    </w:p>
    <w:p>
      <w:pPr>
        <w:numPr>
          <w:ilvl w:val="0"/>
          <w:numId w:val="2"/>
        </w:numPr>
        <w:spacing w:before="156" w:beforeLines="50" w:line="360" w:lineRule="auto"/>
        <w:ind w:firstLine="480" w:firstLineChars="200"/>
        <w:rPr>
          <w:color w:val="FF0000"/>
          <w:sz w:val="24"/>
        </w:rPr>
      </w:pPr>
      <w:r>
        <w:rPr>
          <w:rFonts w:hint="eastAsia"/>
          <w:color w:val="000000" w:themeColor="text1"/>
          <w:sz w:val="24"/>
          <w14:textFill>
            <w14:solidFill>
              <w14:schemeClr w14:val="tx1"/>
            </w14:solidFill>
          </w14:textFill>
        </w:rPr>
        <w:t>系统对接要求：</w:t>
      </w:r>
    </w:p>
    <w:p>
      <w:pPr>
        <w:pStyle w:val="32"/>
        <w:numPr>
          <w:ilvl w:val="0"/>
          <w:numId w:val="3"/>
        </w:numPr>
        <w:spacing w:before="156" w:beforeLines="50" w:line="360" w:lineRule="auto"/>
        <w:ind w:firstLine="480"/>
        <w:rPr>
          <w:sz w:val="24"/>
        </w:rPr>
      </w:pPr>
      <w:r>
        <w:rPr>
          <w:rFonts w:hint="eastAsia"/>
          <w:sz w:val="24"/>
        </w:rPr>
        <w:t>符合原卫生部2002年颁布的《医院信息系统功能基本规范》；符合国家卫生健康委员会规划与信息司于2018年发布的《全国医院信息化建设标准与规范（试行）》</w:t>
      </w:r>
      <w:r>
        <w:rPr>
          <w:sz w:val="24"/>
        </w:rPr>
        <w:t>；</w:t>
      </w:r>
    </w:p>
    <w:p>
      <w:pPr>
        <w:pStyle w:val="32"/>
        <w:numPr>
          <w:ilvl w:val="0"/>
          <w:numId w:val="3"/>
        </w:numPr>
        <w:spacing w:before="156" w:beforeLines="50" w:line="360" w:lineRule="auto"/>
        <w:ind w:firstLine="480"/>
        <w:rPr>
          <w:sz w:val="24"/>
        </w:rPr>
      </w:pPr>
      <w:r>
        <w:rPr>
          <w:rFonts w:hint="eastAsia"/>
          <w:sz w:val="24"/>
        </w:rPr>
        <w:t>能够与医院住院电子病历对接，获取电子病历中的数据内容，包括但不限于主诉、现病史、既往史等信息。</w:t>
      </w:r>
    </w:p>
    <w:p>
      <w:pPr>
        <w:pStyle w:val="32"/>
        <w:numPr>
          <w:ilvl w:val="0"/>
          <w:numId w:val="3"/>
        </w:numPr>
        <w:spacing w:before="156" w:beforeLines="50" w:line="360" w:lineRule="auto"/>
        <w:ind w:firstLine="480"/>
        <w:rPr>
          <w:sz w:val="24"/>
        </w:rPr>
      </w:pPr>
      <w:r>
        <w:rPr>
          <w:rFonts w:hint="eastAsia"/>
          <w:sz w:val="24"/>
        </w:rPr>
        <w:t>能够与医院集成平台对接，获取集成平台中的数据内容，包括但不限于患者检验结果、检查报告、医嘱内容等。</w:t>
      </w:r>
    </w:p>
    <w:p>
      <w:pPr>
        <w:pStyle w:val="32"/>
        <w:numPr>
          <w:ilvl w:val="0"/>
          <w:numId w:val="3"/>
        </w:numPr>
        <w:spacing w:before="156" w:beforeLines="50" w:line="360" w:lineRule="auto"/>
        <w:ind w:firstLine="480"/>
        <w:rPr>
          <w:sz w:val="24"/>
        </w:rPr>
      </w:pPr>
      <w:r>
        <w:rPr>
          <w:rFonts w:hint="eastAsia"/>
          <w:sz w:val="24"/>
        </w:rPr>
        <w:t>能够与医院医嘱对接，获取医嘱信息，包括但不限于药品、检验、检查、手术、护理医嘱。</w:t>
      </w:r>
    </w:p>
    <w:p>
      <w:pPr>
        <w:pStyle w:val="32"/>
        <w:numPr>
          <w:ilvl w:val="0"/>
          <w:numId w:val="3"/>
        </w:numPr>
        <w:spacing w:before="156" w:beforeLines="50" w:line="360" w:lineRule="auto"/>
        <w:ind w:firstLine="480"/>
        <w:rPr>
          <w:sz w:val="24"/>
        </w:rPr>
      </w:pPr>
      <w:r>
        <w:rPr>
          <w:rFonts w:hint="eastAsia"/>
          <w:sz w:val="24"/>
        </w:rPr>
        <w:t>能够与医院</w:t>
      </w:r>
      <w:r>
        <w:rPr>
          <w:rFonts w:hint="eastAsia"/>
          <w:sz w:val="24"/>
          <w:lang w:val="en-US" w:eastAsia="zh-CN"/>
        </w:rPr>
        <w:t>影像</w:t>
      </w:r>
      <w:r>
        <w:rPr>
          <w:rFonts w:hint="eastAsia"/>
          <w:sz w:val="24"/>
        </w:rPr>
        <w:t>系统对接，获取相关系统中的数据内容，包括影像报告、检查报告等。</w:t>
      </w:r>
    </w:p>
    <w:p>
      <w:pPr>
        <w:numPr>
          <w:ilvl w:val="0"/>
          <w:numId w:val="2"/>
        </w:numPr>
        <w:spacing w:before="156" w:beforeLines="50" w:line="360" w:lineRule="auto"/>
        <w:ind w:firstLine="480" w:firstLineChars="200"/>
        <w:rPr>
          <w:sz w:val="24"/>
        </w:rPr>
      </w:pPr>
      <w:r>
        <w:rPr>
          <w:rFonts w:hint="eastAsia"/>
          <w:sz w:val="24"/>
        </w:rPr>
        <w:t>数据格式化要求：不需要电子病历实现结构化录入，可以从非结构化电子病历内容中，通过机器学习，自动抽取结构化信息。</w:t>
      </w:r>
    </w:p>
    <w:p>
      <w:pPr>
        <w:widowControl/>
        <w:numPr>
          <w:ilvl w:val="0"/>
          <w:numId w:val="2"/>
        </w:numPr>
        <w:spacing w:before="156" w:beforeLines="50" w:line="360" w:lineRule="auto"/>
        <w:ind w:firstLine="480" w:firstLineChars="200"/>
        <w:rPr>
          <w:sz w:val="24"/>
        </w:rPr>
      </w:pPr>
      <w:r>
        <w:rPr>
          <w:rFonts w:hint="eastAsia"/>
          <w:sz w:val="24"/>
        </w:rPr>
        <w:t>终端用户操作性能指标：软件系统要体现易于理解掌握、操作简单、提示清晰、逻辑性强，直观简洁、帮助信息丰富等特点，保证操作人员以最快速度和最少的击键次数完成工作。</w:t>
      </w:r>
    </w:p>
    <w:p>
      <w:r>
        <w:rPr>
          <w:rFonts w:hint="eastAsia"/>
        </w:rPr>
        <w:br w:type="page"/>
      </w:r>
    </w:p>
    <w:p>
      <w:pPr>
        <w:widowControl/>
        <w:numPr>
          <w:ilvl w:val="0"/>
          <w:numId w:val="4"/>
        </w:numPr>
        <w:spacing w:before="156" w:beforeLines="50" w:line="360" w:lineRule="auto"/>
        <w:ind w:firstLine="482" w:firstLineChars="200"/>
        <w:rPr>
          <w:rFonts w:hint="eastAsia"/>
          <w:b/>
          <w:bCs/>
          <w:sz w:val="24"/>
        </w:rPr>
      </w:pPr>
      <w:r>
        <w:rPr>
          <w:rFonts w:hint="eastAsia"/>
          <w:b/>
          <w:bCs/>
          <w:sz w:val="24"/>
        </w:rPr>
        <w:t>系统功能参数要求</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rPr>
        <w:t>1</w:t>
      </w:r>
      <w:r>
        <w:rPr>
          <w:rFonts w:hint="eastAsia" w:ascii="宋体" w:hAnsi="宋体" w:eastAsia="宋体" w:cs="宋体"/>
          <w:szCs w:val="21"/>
        </w:rPr>
        <w:t>、阅片功能</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1.1</w:t>
      </w:r>
      <w:r>
        <w:rPr>
          <w:rFonts w:hint="eastAsia" w:ascii="宋体" w:hAnsi="宋体" w:eastAsia="宋体" w:cs="宋体"/>
          <w:szCs w:val="21"/>
        </w:rPr>
        <w:tab/>
      </w:r>
      <w:r>
        <w:rPr>
          <w:rFonts w:hint="eastAsia" w:ascii="宋体" w:hAnsi="宋体" w:eastAsia="宋体" w:cs="宋体"/>
          <w:szCs w:val="21"/>
        </w:rPr>
        <w:t>影像阅片</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1.1.1</w:t>
      </w:r>
      <w:r>
        <w:rPr>
          <w:rFonts w:hint="eastAsia" w:ascii="宋体" w:hAnsi="宋体" w:eastAsia="宋体" w:cs="宋体"/>
          <w:szCs w:val="21"/>
        </w:rPr>
        <w:tab/>
      </w:r>
      <w:r>
        <w:rPr>
          <w:rFonts w:hint="eastAsia" w:ascii="宋体" w:hAnsi="宋体" w:eastAsia="宋体" w:cs="宋体"/>
          <w:szCs w:val="21"/>
        </w:rPr>
        <w:t>序列调整：需支持对当前影像的不同检查序列进行调整切换显示</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1.1.2</w:t>
      </w:r>
      <w:r>
        <w:rPr>
          <w:rFonts w:hint="eastAsia" w:ascii="宋体" w:hAnsi="宋体" w:eastAsia="宋体" w:cs="宋体"/>
          <w:szCs w:val="21"/>
        </w:rPr>
        <w:tab/>
      </w:r>
      <w:r>
        <w:rPr>
          <w:rFonts w:hint="eastAsia" w:ascii="宋体" w:hAnsi="宋体" w:eastAsia="宋体" w:cs="宋体"/>
          <w:szCs w:val="21"/>
        </w:rPr>
        <w:t>阅片工具：需具备多种影像阅片工具，支持翻图、移动、缩放、翻转、反片等功能</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1.1.3</w:t>
      </w:r>
      <w:r>
        <w:rPr>
          <w:rFonts w:hint="eastAsia" w:ascii="宋体" w:hAnsi="宋体" w:eastAsia="宋体" w:cs="宋体"/>
          <w:szCs w:val="21"/>
        </w:rPr>
        <w:tab/>
      </w:r>
      <w:r>
        <w:rPr>
          <w:rFonts w:hint="eastAsia" w:ascii="宋体" w:hAnsi="宋体" w:eastAsia="宋体" w:cs="宋体"/>
          <w:szCs w:val="21"/>
        </w:rPr>
        <w:t>视窗调整：需支持7种窗宽窗位模式及一键切换、快捷键切换、手动调整3种窗宽窗位调整功能，并支持多窗口联动</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1.1.4</w:t>
      </w:r>
      <w:r>
        <w:rPr>
          <w:rFonts w:hint="eastAsia" w:ascii="宋体" w:hAnsi="宋体" w:eastAsia="宋体" w:cs="宋体"/>
          <w:szCs w:val="21"/>
        </w:rPr>
        <w:tab/>
      </w:r>
      <w:r>
        <w:rPr>
          <w:rFonts w:hint="eastAsia" w:ascii="宋体" w:hAnsi="宋体" w:eastAsia="宋体" w:cs="宋体"/>
          <w:szCs w:val="21"/>
        </w:rPr>
        <w:t>图像恢复：需支持将影像一键恢复至初始状态</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▲1.1.5</w:t>
      </w:r>
      <w:r>
        <w:rPr>
          <w:rFonts w:hint="eastAsia" w:ascii="宋体" w:hAnsi="宋体" w:eastAsia="宋体" w:cs="宋体"/>
          <w:szCs w:val="21"/>
        </w:rPr>
        <w:tab/>
      </w:r>
      <w:r>
        <w:rPr>
          <w:rFonts w:hint="eastAsia" w:ascii="宋体" w:hAnsi="宋体" w:eastAsia="宋体" w:cs="宋体"/>
          <w:szCs w:val="21"/>
        </w:rPr>
        <w:t>窗口布局：为了能满足教学用途，需支持16种窗口布局切换（提供功能截图证明，不清晰不得分）</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1.1.6</w:t>
      </w:r>
      <w:r>
        <w:rPr>
          <w:rFonts w:hint="eastAsia" w:ascii="宋体" w:hAnsi="宋体" w:eastAsia="宋体" w:cs="宋体"/>
          <w:szCs w:val="21"/>
        </w:rPr>
        <w:tab/>
      </w:r>
      <w:r>
        <w:rPr>
          <w:rFonts w:hint="eastAsia" w:ascii="宋体" w:hAnsi="宋体" w:eastAsia="宋体" w:cs="宋体"/>
          <w:szCs w:val="21"/>
        </w:rPr>
        <w:t>缩放：需支持对局部影像进行放大操作，可自定义调节放大范围及倍数</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▲1.1.7</w:t>
      </w:r>
      <w:r>
        <w:rPr>
          <w:rFonts w:hint="eastAsia" w:ascii="宋体" w:hAnsi="宋体" w:eastAsia="宋体" w:cs="宋体"/>
          <w:szCs w:val="21"/>
        </w:rPr>
        <w:tab/>
      </w:r>
      <w:r>
        <w:rPr>
          <w:rFonts w:hint="eastAsia" w:ascii="宋体" w:hAnsi="宋体" w:eastAsia="宋体" w:cs="宋体"/>
          <w:szCs w:val="21"/>
        </w:rPr>
        <w:t>图像增强：需支持对选中区域图像进行对比度增强显示，可自定义范围及强度（提供功能截图证明，不清晰不得分）</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1.2</w:t>
      </w:r>
      <w:r>
        <w:rPr>
          <w:rFonts w:hint="eastAsia" w:ascii="宋体" w:hAnsi="宋体" w:eastAsia="宋体" w:cs="宋体"/>
          <w:szCs w:val="21"/>
        </w:rPr>
        <w:tab/>
      </w:r>
      <w:r>
        <w:rPr>
          <w:rFonts w:hint="eastAsia" w:ascii="宋体" w:hAnsi="宋体" w:eastAsia="宋体" w:cs="宋体"/>
          <w:szCs w:val="21"/>
        </w:rPr>
        <w:t>影像三维浏览</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1.2.1</w:t>
      </w:r>
      <w:r>
        <w:rPr>
          <w:rFonts w:hint="eastAsia" w:ascii="宋体" w:hAnsi="宋体" w:eastAsia="宋体" w:cs="宋体"/>
          <w:szCs w:val="21"/>
        </w:rPr>
        <w:tab/>
      </w:r>
      <w:r>
        <w:rPr>
          <w:rFonts w:hint="eastAsia" w:ascii="宋体" w:hAnsi="宋体" w:eastAsia="宋体" w:cs="宋体"/>
          <w:szCs w:val="21"/>
        </w:rPr>
        <w:t>MPR多平面重组MPR：需支持自动交互式多平面重建功能，且三个相位均支持旋转和联动显示</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1.2.2</w:t>
      </w:r>
      <w:r>
        <w:rPr>
          <w:rFonts w:hint="eastAsia" w:ascii="宋体" w:hAnsi="宋体" w:eastAsia="宋体" w:cs="宋体"/>
          <w:szCs w:val="21"/>
        </w:rPr>
        <w:tab/>
      </w:r>
      <w:r>
        <w:rPr>
          <w:rFonts w:hint="eastAsia" w:ascii="宋体" w:hAnsi="宋体" w:eastAsia="宋体" w:cs="宋体"/>
          <w:szCs w:val="21"/>
        </w:rPr>
        <w:t>MIP/AIP/MinIP投影：需支持最大/平均/最小密度（MIP/AIP/MinIP）投影功能，手动调节投影层厚，并支持联动显示</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▲1.2.3</w:t>
      </w:r>
      <w:r>
        <w:rPr>
          <w:rFonts w:hint="eastAsia" w:ascii="宋体" w:hAnsi="宋体" w:eastAsia="宋体" w:cs="宋体"/>
          <w:szCs w:val="21"/>
        </w:rPr>
        <w:tab/>
      </w:r>
      <w:r>
        <w:rPr>
          <w:rFonts w:hint="eastAsia" w:ascii="宋体" w:hAnsi="宋体" w:eastAsia="宋体" w:cs="宋体"/>
          <w:szCs w:val="21"/>
        </w:rPr>
        <w:t>肺叶轮廓标记：需支持以不同颜色勾勒的方式显示不同肺叶轮廓，并支持轴位、矢状位、冠状位同步（提供功能截图证明，不清晰不得分）</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2、胸部结节智能处理功能</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2.1</w:t>
      </w:r>
      <w:r>
        <w:rPr>
          <w:rFonts w:hint="eastAsia" w:ascii="宋体" w:hAnsi="宋体" w:eastAsia="宋体" w:cs="宋体"/>
          <w:szCs w:val="21"/>
        </w:rPr>
        <w:tab/>
      </w:r>
      <w:r>
        <w:rPr>
          <w:rFonts w:hint="eastAsia" w:ascii="宋体" w:hAnsi="宋体" w:eastAsia="宋体" w:cs="宋体"/>
          <w:szCs w:val="21"/>
        </w:rPr>
        <w:t>胸部结节自动识别抓取</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2.1.1</w:t>
      </w:r>
      <w:r>
        <w:rPr>
          <w:rFonts w:hint="eastAsia" w:ascii="宋体" w:hAnsi="宋体" w:eastAsia="宋体" w:cs="宋体"/>
          <w:szCs w:val="21"/>
        </w:rPr>
        <w:tab/>
      </w:r>
      <w:r>
        <w:rPr>
          <w:rFonts w:hint="eastAsia" w:ascii="宋体" w:hAnsi="宋体" w:eastAsia="宋体" w:cs="宋体"/>
          <w:szCs w:val="21"/>
        </w:rPr>
        <w:t>结节抓取：需支持自动抓取可疑结节，提供可隐藏标记</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2.1.2</w:t>
      </w:r>
      <w:r>
        <w:rPr>
          <w:rFonts w:hint="eastAsia" w:ascii="宋体" w:hAnsi="宋体" w:eastAsia="宋体" w:cs="宋体"/>
          <w:szCs w:val="21"/>
        </w:rPr>
        <w:tab/>
      </w:r>
      <w:r>
        <w:rPr>
          <w:rFonts w:hint="eastAsia" w:ascii="宋体" w:hAnsi="宋体" w:eastAsia="宋体" w:cs="宋体"/>
          <w:szCs w:val="21"/>
        </w:rPr>
        <w:t>结节标记：需支持为结节添加一个三维矩形框标记</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2.1.3</w:t>
      </w:r>
      <w:r>
        <w:rPr>
          <w:rFonts w:hint="eastAsia" w:ascii="宋体" w:hAnsi="宋体" w:eastAsia="宋体" w:cs="宋体"/>
          <w:szCs w:val="21"/>
        </w:rPr>
        <w:tab/>
      </w:r>
      <w:r>
        <w:rPr>
          <w:rFonts w:hint="eastAsia" w:ascii="宋体" w:hAnsi="宋体" w:eastAsia="宋体" w:cs="宋体"/>
          <w:szCs w:val="21"/>
        </w:rPr>
        <w:t>病灶预警：需支持检测到重要病灶时自动报警提示，并支持提示重要病灶类型及数量</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2.1.4</w:t>
      </w:r>
      <w:r>
        <w:rPr>
          <w:rFonts w:hint="eastAsia" w:ascii="宋体" w:hAnsi="宋体" w:eastAsia="宋体" w:cs="宋体"/>
          <w:szCs w:val="21"/>
        </w:rPr>
        <w:tab/>
      </w:r>
      <w:r>
        <w:rPr>
          <w:rFonts w:hint="eastAsia" w:ascii="宋体" w:hAnsi="宋体" w:eastAsia="宋体" w:cs="宋体"/>
          <w:szCs w:val="21"/>
        </w:rPr>
        <w:t>病灶导航：需支持结节位置导航标记，标记结节所在层范围区间，并以不同颜色提示结节良性程度</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2.1.5</w:t>
      </w:r>
      <w:r>
        <w:rPr>
          <w:rFonts w:hint="eastAsia" w:ascii="宋体" w:hAnsi="宋体" w:eastAsia="宋体" w:cs="宋体"/>
          <w:szCs w:val="21"/>
        </w:rPr>
        <w:tab/>
      </w:r>
      <w:r>
        <w:rPr>
          <w:rFonts w:hint="eastAsia" w:ascii="宋体" w:hAnsi="宋体" w:eastAsia="宋体" w:cs="宋体"/>
          <w:szCs w:val="21"/>
        </w:rPr>
        <w:t>微小结节自定义展示：需支持用户可选择性展示微小结节，支持设置选择性展示的微小结节最大径</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2.1.6</w:t>
      </w:r>
      <w:r>
        <w:rPr>
          <w:rFonts w:hint="eastAsia" w:ascii="宋体" w:hAnsi="宋体" w:eastAsia="宋体" w:cs="宋体"/>
          <w:szCs w:val="21"/>
        </w:rPr>
        <w:tab/>
      </w:r>
      <w:r>
        <w:rPr>
          <w:rFonts w:hint="eastAsia" w:ascii="宋体" w:hAnsi="宋体" w:eastAsia="宋体" w:cs="宋体"/>
          <w:szCs w:val="21"/>
        </w:rPr>
        <w:t>结节列表：需支持将所有检测出的结节以列表形式展现在界面上，展示AI检出结节总数，按照薄层层面、厚层层面、体积、风险等级等10种以上方式对结节进行排序观察，并可以和影像中位置相互关联显示</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2.1.7</w:t>
      </w:r>
      <w:r>
        <w:rPr>
          <w:rFonts w:hint="eastAsia" w:ascii="宋体" w:hAnsi="宋体" w:eastAsia="宋体" w:cs="宋体"/>
          <w:szCs w:val="21"/>
        </w:rPr>
        <w:tab/>
      </w:r>
      <w:r>
        <w:rPr>
          <w:rFonts w:hint="eastAsia" w:ascii="宋体" w:hAnsi="宋体" w:eastAsia="宋体" w:cs="宋体"/>
          <w:szCs w:val="21"/>
        </w:rPr>
        <w:t>结节筛选：需支持按照长径、体积、良恶性等不少于4种筛选条件对结节进行筛选观察</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▲2.1.8</w:t>
      </w:r>
      <w:r>
        <w:rPr>
          <w:rFonts w:hint="eastAsia" w:ascii="宋体" w:hAnsi="宋体" w:eastAsia="宋体" w:cs="宋体"/>
          <w:szCs w:val="21"/>
        </w:rPr>
        <w:tab/>
      </w:r>
      <w:r>
        <w:rPr>
          <w:rFonts w:hint="eastAsia" w:ascii="宋体" w:hAnsi="宋体" w:eastAsia="宋体" w:cs="宋体"/>
          <w:szCs w:val="21"/>
        </w:rPr>
        <w:t>肺门区病灶识别：需支持对肺门区病灶的准确识别，并提供专用于肺门区CT图像检测的相关专利佐证</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2.2</w:t>
      </w:r>
      <w:r>
        <w:rPr>
          <w:rFonts w:hint="eastAsia" w:ascii="宋体" w:hAnsi="宋体" w:eastAsia="宋体" w:cs="宋体"/>
          <w:szCs w:val="21"/>
        </w:rPr>
        <w:tab/>
      </w:r>
      <w:r>
        <w:rPr>
          <w:rFonts w:hint="eastAsia" w:ascii="宋体" w:hAnsi="宋体" w:eastAsia="宋体" w:cs="宋体"/>
          <w:szCs w:val="21"/>
        </w:rPr>
        <w:t>胸部结节智能测量分析</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2.2.1</w:t>
      </w:r>
      <w:r>
        <w:rPr>
          <w:rFonts w:hint="eastAsia" w:ascii="宋体" w:hAnsi="宋体" w:eastAsia="宋体" w:cs="宋体"/>
          <w:szCs w:val="21"/>
        </w:rPr>
        <w:tab/>
      </w:r>
      <w:r>
        <w:rPr>
          <w:rFonts w:hint="eastAsia" w:ascii="宋体" w:hAnsi="宋体" w:eastAsia="宋体" w:cs="宋体"/>
          <w:szCs w:val="21"/>
        </w:rPr>
        <w:t>结节最大层面抓取：需支持自动抓取结节最大面积所在层面，并支持薄厚层影像映射显示</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2.2.2</w:t>
      </w:r>
      <w:r>
        <w:rPr>
          <w:rFonts w:hint="eastAsia" w:ascii="宋体" w:hAnsi="宋体" w:eastAsia="宋体" w:cs="宋体"/>
          <w:szCs w:val="21"/>
        </w:rPr>
        <w:tab/>
      </w:r>
      <w:r>
        <w:rPr>
          <w:rFonts w:hint="eastAsia" w:ascii="宋体" w:hAnsi="宋体" w:eastAsia="宋体" w:cs="宋体"/>
          <w:szCs w:val="21"/>
        </w:rPr>
        <w:t>结节自动测量：需支持自动测量计算结节的长径、短径、平均CT值、体积、质量</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▲2.2.3</w:t>
      </w:r>
      <w:r>
        <w:rPr>
          <w:rFonts w:hint="eastAsia" w:ascii="宋体" w:hAnsi="宋体" w:eastAsia="宋体" w:cs="宋体"/>
          <w:szCs w:val="21"/>
        </w:rPr>
        <w:tab/>
      </w:r>
      <w:r>
        <w:rPr>
          <w:rFonts w:hint="eastAsia" w:ascii="宋体" w:hAnsi="宋体" w:eastAsia="宋体" w:cs="宋体"/>
          <w:szCs w:val="21"/>
        </w:rPr>
        <w:t>结节位置分析：需支持自动分析胸部结节所在肺叶肺段，并通过解剖示意图的形式直观展现（提供功能截图证明，不清晰不得分）</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2.2.4</w:t>
      </w:r>
      <w:r>
        <w:rPr>
          <w:rFonts w:hint="eastAsia" w:ascii="宋体" w:hAnsi="宋体" w:eastAsia="宋体" w:cs="宋体"/>
          <w:szCs w:val="21"/>
        </w:rPr>
        <w:tab/>
      </w:r>
      <w:r>
        <w:rPr>
          <w:rFonts w:hint="eastAsia" w:ascii="宋体" w:hAnsi="宋体" w:eastAsia="宋体" w:cs="宋体"/>
          <w:szCs w:val="21"/>
        </w:rPr>
        <w:t>结节类型分析：需支持对结节进行分型，包括实性、混杂密度、磨玻璃、钙化、肿块</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2.2.5</w:t>
      </w:r>
      <w:r>
        <w:rPr>
          <w:rFonts w:hint="eastAsia" w:ascii="宋体" w:hAnsi="宋体" w:eastAsia="宋体" w:cs="宋体"/>
          <w:szCs w:val="21"/>
        </w:rPr>
        <w:tab/>
      </w:r>
      <w:r>
        <w:rPr>
          <w:rFonts w:hint="eastAsia" w:ascii="宋体" w:hAnsi="宋体" w:eastAsia="宋体" w:cs="宋体"/>
          <w:szCs w:val="21"/>
        </w:rPr>
        <w:t>结节密度分析：需支持自动生成结节密度分布直方图，可显示结节在不同密度区间的分布状态</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2.2.6</w:t>
      </w:r>
      <w:r>
        <w:rPr>
          <w:rFonts w:hint="eastAsia" w:ascii="宋体" w:hAnsi="宋体" w:eastAsia="宋体" w:cs="宋体"/>
          <w:szCs w:val="21"/>
        </w:rPr>
        <w:tab/>
      </w:r>
      <w:r>
        <w:rPr>
          <w:rFonts w:hint="eastAsia" w:ascii="宋体" w:hAnsi="宋体" w:eastAsia="宋体" w:cs="宋体"/>
          <w:szCs w:val="21"/>
        </w:rPr>
        <w:t>结节实性占比分析：需支持自动分析结节实性部分区域的体积与质量占比（提供功能截图证明，不清晰不得分）</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2.2.7</w:t>
      </w:r>
      <w:r>
        <w:rPr>
          <w:rFonts w:hint="eastAsia" w:ascii="宋体" w:hAnsi="宋体" w:eastAsia="宋体" w:cs="宋体"/>
          <w:szCs w:val="21"/>
        </w:rPr>
        <w:tab/>
      </w:r>
      <w:r>
        <w:rPr>
          <w:rFonts w:hint="eastAsia" w:ascii="宋体" w:hAnsi="宋体" w:eastAsia="宋体" w:cs="宋体"/>
          <w:szCs w:val="21"/>
        </w:rPr>
        <w:t>等级分析</w:t>
      </w:r>
      <w:r>
        <w:rPr>
          <w:rFonts w:hint="eastAsia" w:ascii="宋体" w:hAnsi="宋体" w:eastAsia="宋体" w:cs="宋体"/>
          <w:szCs w:val="21"/>
        </w:rPr>
        <w:tab/>
      </w:r>
      <w:r>
        <w:rPr>
          <w:rFonts w:hint="eastAsia" w:ascii="宋体" w:hAnsi="宋体" w:eastAsia="宋体" w:cs="宋体"/>
          <w:szCs w:val="21"/>
        </w:rPr>
        <w:t>需支持自动分析结节Lung-RADS等级</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2.2.8</w:t>
      </w:r>
      <w:r>
        <w:rPr>
          <w:rFonts w:hint="eastAsia" w:ascii="宋体" w:hAnsi="宋体" w:eastAsia="宋体" w:cs="宋体"/>
          <w:szCs w:val="21"/>
        </w:rPr>
        <w:tab/>
      </w:r>
      <w:r>
        <w:rPr>
          <w:rFonts w:hint="eastAsia" w:ascii="宋体" w:hAnsi="宋体" w:eastAsia="宋体" w:cs="宋体"/>
          <w:szCs w:val="21"/>
        </w:rPr>
        <w:t>结节危险性分析：需支持自动分析胸部结节危险程度，提供多种危险等级分析结果</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2.2.9</w:t>
      </w:r>
      <w:r>
        <w:rPr>
          <w:rFonts w:hint="eastAsia" w:ascii="宋体" w:hAnsi="宋体" w:eastAsia="宋体" w:cs="宋体"/>
          <w:szCs w:val="21"/>
        </w:rPr>
        <w:tab/>
      </w:r>
      <w:r>
        <w:rPr>
          <w:rFonts w:hint="eastAsia" w:ascii="宋体" w:hAnsi="宋体" w:eastAsia="宋体" w:cs="宋体"/>
          <w:szCs w:val="21"/>
        </w:rPr>
        <w:t>结节三维分析：需支持自动测量结节最大层位置，最大面面积，表面积，3D 长径等信息</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2.2.10</w:t>
      </w:r>
      <w:r>
        <w:rPr>
          <w:rFonts w:hint="eastAsia" w:ascii="宋体" w:hAnsi="宋体" w:eastAsia="宋体" w:cs="宋体"/>
          <w:szCs w:val="21"/>
        </w:rPr>
        <w:tab/>
      </w:r>
      <w:r>
        <w:rPr>
          <w:rFonts w:hint="eastAsia" w:ascii="宋体" w:hAnsi="宋体" w:eastAsia="宋体" w:cs="宋体"/>
          <w:szCs w:val="21"/>
        </w:rPr>
        <w:t>影像组学分析：需支持自动测量结节的峰度、偏度、紧凑度、球形度、能量、熵等影像组学参数</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2.2.11</w:t>
      </w:r>
      <w:r>
        <w:rPr>
          <w:rFonts w:hint="eastAsia" w:ascii="宋体" w:hAnsi="宋体" w:eastAsia="宋体" w:cs="宋体"/>
          <w:szCs w:val="21"/>
        </w:rPr>
        <w:tab/>
      </w:r>
      <w:r>
        <w:rPr>
          <w:rFonts w:hint="eastAsia" w:ascii="宋体" w:hAnsi="宋体" w:eastAsia="宋体" w:cs="宋体"/>
          <w:szCs w:val="21"/>
        </w:rPr>
        <w:t>结节信息导出：支持对选中结节的层面、大小、类型、lung-rads、位置、平均CT值、体积、征象等25种以上信息进行导出。</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2.2.12</w:t>
      </w:r>
      <w:r>
        <w:rPr>
          <w:rFonts w:hint="eastAsia" w:ascii="宋体" w:hAnsi="宋体" w:eastAsia="宋体" w:cs="宋体"/>
          <w:szCs w:val="21"/>
        </w:rPr>
        <w:tab/>
      </w:r>
      <w:r>
        <w:rPr>
          <w:rFonts w:hint="eastAsia" w:ascii="宋体" w:hAnsi="宋体" w:eastAsia="宋体" w:cs="宋体"/>
          <w:szCs w:val="21"/>
        </w:rPr>
        <w:t>相似病例分析功能：需支持针对结节特征自动匹配不少于5例与之相似的病例影像，提供相似病例多层靶扫描影像浏览对比，并支持相似病例靶扫描影像窗宽窗位调整观察</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2.2.13</w:t>
      </w:r>
      <w:r>
        <w:rPr>
          <w:rFonts w:hint="eastAsia" w:ascii="宋体" w:hAnsi="宋体" w:eastAsia="宋体" w:cs="宋体"/>
          <w:szCs w:val="21"/>
        </w:rPr>
        <w:tab/>
      </w:r>
      <w:r>
        <w:rPr>
          <w:rFonts w:hint="eastAsia" w:ascii="宋体" w:hAnsi="宋体" w:eastAsia="宋体" w:cs="宋体"/>
          <w:szCs w:val="21"/>
        </w:rPr>
        <w:t>测量精确度设置：需支持用户根据使用习惯自定义调整AI测量精确度</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2.2.14</w:t>
      </w:r>
      <w:r>
        <w:rPr>
          <w:rFonts w:hint="eastAsia" w:ascii="宋体" w:hAnsi="宋体" w:eastAsia="宋体" w:cs="宋体"/>
          <w:szCs w:val="21"/>
        </w:rPr>
        <w:tab/>
      </w:r>
      <w:r>
        <w:rPr>
          <w:rFonts w:hint="eastAsia" w:ascii="宋体" w:hAnsi="宋体" w:eastAsia="宋体" w:cs="宋体"/>
          <w:szCs w:val="21"/>
        </w:rPr>
        <w:t>征象分析：需支持至少14种异常征象的分析，包括脂肪成分、合并钙化、血管穿行、分叶、毛刺等</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▲2.2.15</w:t>
      </w:r>
      <w:r>
        <w:rPr>
          <w:rFonts w:hint="eastAsia" w:ascii="宋体" w:hAnsi="宋体" w:eastAsia="宋体" w:cs="宋体"/>
          <w:szCs w:val="21"/>
        </w:rPr>
        <w:tab/>
      </w:r>
      <w:r>
        <w:rPr>
          <w:rFonts w:hint="eastAsia" w:ascii="宋体" w:hAnsi="宋体" w:eastAsia="宋体" w:cs="宋体"/>
          <w:szCs w:val="21"/>
        </w:rPr>
        <w:t>提供国家主管部门颁发具备胸部CT影像智能分析的证明文件</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2.3</w:t>
      </w:r>
      <w:r>
        <w:rPr>
          <w:rFonts w:hint="eastAsia" w:ascii="宋体" w:hAnsi="宋体" w:eastAsia="宋体" w:cs="宋体"/>
          <w:szCs w:val="21"/>
        </w:rPr>
        <w:tab/>
      </w:r>
      <w:r>
        <w:rPr>
          <w:rFonts w:hint="eastAsia" w:ascii="宋体" w:hAnsi="宋体" w:eastAsia="宋体" w:cs="宋体"/>
          <w:szCs w:val="21"/>
        </w:rPr>
        <w:t>影像智能后处理</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2.3.1结节VR重建：需支持显示胸部结节VR图像，包括小于3mm以下结节，VR 图像应支持任意角度旋转，便于查看结节与周围组织关系</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2.3.2</w:t>
      </w:r>
      <w:r>
        <w:rPr>
          <w:rFonts w:hint="eastAsia" w:ascii="宋体" w:hAnsi="宋体" w:eastAsia="宋体" w:cs="宋体"/>
          <w:szCs w:val="21"/>
        </w:rPr>
        <w:tab/>
      </w:r>
      <w:r>
        <w:rPr>
          <w:rFonts w:hint="eastAsia" w:ascii="宋体" w:hAnsi="宋体" w:eastAsia="宋体" w:cs="宋体"/>
          <w:szCs w:val="21"/>
        </w:rPr>
        <w:t>靶重建增强显示：需支持对结节进行靶重建显示，可展示结节与周围血管的关系，结节支持单独染色显示</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3、胸部异常征象识别功能</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3.1</w:t>
      </w:r>
      <w:r>
        <w:rPr>
          <w:rFonts w:hint="eastAsia" w:ascii="宋体" w:hAnsi="宋体" w:eastAsia="宋体" w:cs="宋体"/>
          <w:szCs w:val="21"/>
        </w:rPr>
        <w:tab/>
      </w:r>
      <w:r>
        <w:rPr>
          <w:rFonts w:hint="eastAsia" w:ascii="宋体" w:hAnsi="宋体" w:eastAsia="宋体" w:cs="宋体"/>
          <w:szCs w:val="21"/>
        </w:rPr>
        <w:t>斑片影、索条、支气管病变识别：需支持自动识别斑片影索条、胸膜增厚并在影像中提供位置标记</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▲3.2</w:t>
      </w:r>
      <w:r>
        <w:rPr>
          <w:rFonts w:hint="eastAsia" w:ascii="宋体" w:hAnsi="宋体" w:eastAsia="宋体" w:cs="宋体"/>
          <w:szCs w:val="21"/>
        </w:rPr>
        <w:tab/>
      </w:r>
      <w:r>
        <w:rPr>
          <w:rFonts w:hint="eastAsia" w:ascii="宋体" w:hAnsi="宋体" w:eastAsia="宋体" w:cs="宋体"/>
          <w:szCs w:val="21"/>
        </w:rPr>
        <w:t>树芽征识别：需支持自动识别树芽征并在影像中提供位置标记（提供功能截图证明，不清晰不得分）</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3.3胸膜增厚识别：需支持自动识别支气管病变并在影像中提供位置标记</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4、结构化报告功能</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4.1</w:t>
      </w:r>
      <w:r>
        <w:rPr>
          <w:rFonts w:hint="eastAsia" w:ascii="宋体" w:hAnsi="宋体" w:eastAsia="宋体" w:cs="宋体"/>
          <w:szCs w:val="21"/>
        </w:rPr>
        <w:tab/>
      </w:r>
      <w:r>
        <w:rPr>
          <w:rFonts w:hint="eastAsia" w:ascii="宋体" w:hAnsi="宋体" w:eastAsia="宋体" w:cs="宋体"/>
          <w:szCs w:val="21"/>
        </w:rPr>
        <w:t>结构化报告：需支持一键式生成结构化报告，可提供图文、纯文字、两类报告模板手动切换选择，支持抓取胸部结节关键帧，提供不少于6种指南建议，并可对随访分析结果进行对比展示，报告结果可以PDF格式导出。需提供病灶 MPR 图像、VR 图像、最大密度投影（MaxIP）图像和最小密度投影（MinIP）图像，并可调整。需支持报告内容自定义配置，包括字体、字号、logo等内容的自定义设</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5、智能随访对比功能</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5.1</w:t>
      </w:r>
      <w:r>
        <w:rPr>
          <w:rFonts w:hint="eastAsia" w:ascii="宋体" w:hAnsi="宋体" w:eastAsia="宋体" w:cs="宋体"/>
          <w:szCs w:val="21"/>
        </w:rPr>
        <w:tab/>
      </w:r>
      <w:r>
        <w:rPr>
          <w:rFonts w:hint="eastAsia" w:ascii="宋体" w:hAnsi="宋体" w:eastAsia="宋体" w:cs="宋体"/>
          <w:szCs w:val="21"/>
        </w:rPr>
        <w:t>病灶自动匹配：需支持自动对多次影像检查（不少于3次）中同一病灶关联匹配，形成随访对比关系，对随访过程中消失的病灶提供配准分析</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5.2</w:t>
      </w:r>
      <w:r>
        <w:rPr>
          <w:rFonts w:hint="eastAsia" w:ascii="宋体" w:hAnsi="宋体" w:eastAsia="宋体" w:cs="宋体"/>
          <w:szCs w:val="21"/>
        </w:rPr>
        <w:tab/>
      </w:r>
      <w:r>
        <w:rPr>
          <w:rFonts w:hint="eastAsia" w:ascii="宋体" w:hAnsi="宋体" w:eastAsia="宋体" w:cs="宋体"/>
          <w:szCs w:val="21"/>
        </w:rPr>
        <w:t>随访病灶排序：需支持对随访病灶按照不同危险级排序观察</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5.3</w:t>
      </w:r>
      <w:r>
        <w:rPr>
          <w:rFonts w:hint="eastAsia" w:ascii="宋体" w:hAnsi="宋体" w:eastAsia="宋体" w:cs="宋体"/>
          <w:szCs w:val="21"/>
        </w:rPr>
        <w:tab/>
      </w:r>
      <w:r>
        <w:rPr>
          <w:rFonts w:hint="eastAsia" w:ascii="宋体" w:hAnsi="宋体" w:eastAsia="宋体" w:cs="宋体"/>
          <w:szCs w:val="21"/>
        </w:rPr>
        <w:t>病灶手动匹配：需支持随访匹配关系手动添加或修改、删除</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5.4</w:t>
      </w:r>
      <w:r>
        <w:rPr>
          <w:rFonts w:hint="eastAsia" w:ascii="宋体" w:hAnsi="宋体" w:eastAsia="宋体" w:cs="宋体"/>
          <w:szCs w:val="21"/>
        </w:rPr>
        <w:tab/>
      </w:r>
      <w:r>
        <w:rPr>
          <w:rFonts w:hint="eastAsia" w:ascii="宋体" w:hAnsi="宋体" w:eastAsia="宋体" w:cs="宋体"/>
          <w:szCs w:val="21"/>
        </w:rPr>
        <w:t>倍增时间分析：需支持自动计算肿瘤倍增时间</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▲5.5</w:t>
      </w:r>
      <w:r>
        <w:rPr>
          <w:rFonts w:hint="eastAsia" w:ascii="宋体" w:hAnsi="宋体" w:eastAsia="宋体" w:cs="宋体"/>
          <w:szCs w:val="21"/>
        </w:rPr>
        <w:tab/>
      </w:r>
      <w:r>
        <w:rPr>
          <w:rFonts w:hint="eastAsia" w:ascii="宋体" w:hAnsi="宋体" w:eastAsia="宋体" w:cs="宋体"/>
          <w:szCs w:val="21"/>
        </w:rPr>
        <w:t>随访对比列表：需支持以列表形式呈现多次随访中（不少于3次）同一结节变化情况，应包括长径、体积等信息变化对比并提示增长或减小比例（提供功能截图证明，不清晰不得分）</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▲5.6</w:t>
      </w:r>
      <w:r>
        <w:rPr>
          <w:rFonts w:hint="eastAsia" w:ascii="宋体" w:hAnsi="宋体" w:eastAsia="宋体" w:cs="宋体"/>
          <w:szCs w:val="21"/>
        </w:rPr>
        <w:tab/>
      </w:r>
      <w:r>
        <w:rPr>
          <w:rFonts w:hint="eastAsia" w:ascii="宋体" w:hAnsi="宋体" w:eastAsia="宋体" w:cs="宋体"/>
          <w:szCs w:val="21"/>
        </w:rPr>
        <w:t>随访观察模式：需支持随访影像与随访对比列表联动，点击列表中任意结节，应实现历次检查影像（可支持多次检查，不少于6次）自动跳转至适合观察的相同层面（提供功能截图证明，不清晰不得分）</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6、操作平台</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6.1</w:t>
      </w:r>
      <w:r>
        <w:rPr>
          <w:rFonts w:hint="eastAsia" w:ascii="宋体" w:hAnsi="宋体" w:eastAsia="宋体" w:cs="宋体"/>
          <w:szCs w:val="21"/>
        </w:rPr>
        <w:tab/>
      </w:r>
      <w:r>
        <w:rPr>
          <w:rFonts w:hint="eastAsia" w:ascii="宋体" w:hAnsi="宋体" w:eastAsia="宋体" w:cs="宋体"/>
          <w:szCs w:val="21"/>
        </w:rPr>
        <w:t>操作平台：产品生产厂商需配套软件操作平台，配置不低于CPU≥8核16线程，RAM≥64GB，GPU≥RTX3060，机械硬盘≥4TB，固态硬盘≥1TB，软件系统集成于操作平台中</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7、产品资质</w:t>
      </w:r>
    </w:p>
    <w:p>
      <w:pPr>
        <w:pStyle w:val="2"/>
        <w:pBdr>
          <w:top w:val="single" w:color="auto" w:sz="4" w:space="1"/>
          <w:left w:val="single" w:color="auto" w:sz="4" w:space="1"/>
          <w:bottom w:val="single" w:color="auto" w:sz="4" w:space="1"/>
          <w:right w:val="single" w:color="auto" w:sz="4" w:space="1"/>
          <w:between w:val="single" w:color="auto" w:sz="4" w:space="1"/>
        </w:pBdr>
        <w:rPr>
          <w:rFonts w:hint="eastAsia" w:ascii="宋体" w:hAnsi="宋体" w:eastAsia="宋体" w:cs="宋体"/>
          <w:szCs w:val="21"/>
        </w:rPr>
      </w:pPr>
      <w:r>
        <w:rPr>
          <w:rFonts w:hint="eastAsia" w:ascii="宋体" w:hAnsi="宋体" w:eastAsia="宋体" w:cs="宋体"/>
          <w:szCs w:val="21"/>
        </w:rPr>
        <w:t>7.1</w:t>
      </w:r>
      <w:r>
        <w:rPr>
          <w:rFonts w:hint="eastAsia" w:ascii="宋体" w:hAnsi="宋体" w:eastAsia="宋体" w:cs="宋体"/>
          <w:szCs w:val="21"/>
        </w:rPr>
        <w:tab/>
      </w:r>
      <w:r>
        <w:rPr>
          <w:rFonts w:hint="eastAsia" w:ascii="宋体" w:hAnsi="宋体" w:eastAsia="宋体" w:cs="宋体"/>
          <w:szCs w:val="21"/>
        </w:rPr>
        <w:t>NMPA资质：产品生产厂商需具备NMPA注册证</w:t>
      </w:r>
    </w:p>
    <w:p>
      <w:pPr>
        <w:pStyle w:val="2"/>
      </w:pPr>
    </w:p>
    <w:bookmarkEnd w:id="8"/>
    <w:p>
      <w:pPr>
        <w:ind w:firstLine="420" w:firstLineChars="200"/>
        <w:rPr>
          <w:rFonts w:ascii="微软雅黑" w:hAnsi="微软雅黑" w:eastAsia="微软雅黑" w:cs="微软雅黑"/>
          <w:b/>
          <w:szCs w:val="21"/>
        </w:rPr>
      </w:pPr>
      <w:r>
        <w:rPr>
          <w:rFonts w:hint="eastAsia" w:ascii="微软雅黑" w:hAnsi="微软雅黑" w:eastAsia="微软雅黑" w:cs="微软雅黑"/>
          <w:b/>
          <w:szCs w:val="21"/>
        </w:rPr>
        <w:t>注：投标产品需要满足以下功能需求表，</w:t>
      </w:r>
      <w:r>
        <w:rPr>
          <w:rFonts w:hint="eastAsia" w:ascii="微软雅黑" w:hAnsi="微软雅黑" w:eastAsia="微软雅黑" w:cs="微软雅黑"/>
          <w:szCs w:val="21"/>
        </w:rPr>
        <w:t>▲</w:t>
      </w:r>
      <w:r>
        <w:rPr>
          <w:rFonts w:hint="eastAsia" w:ascii="微软雅黑" w:hAnsi="微软雅黑" w:eastAsia="微软雅黑" w:cs="微软雅黑"/>
          <w:b/>
          <w:szCs w:val="21"/>
        </w:rPr>
        <w:t>为重要技术参数，需提供对应系统功能截图。</w:t>
      </w:r>
    </w:p>
    <w:p>
      <w:pPr>
        <w:pStyle w:val="18"/>
      </w:pPr>
    </w:p>
    <w:p>
      <w:r>
        <w:br w:type="page"/>
      </w:r>
    </w:p>
    <w:p>
      <w:pPr>
        <w:widowControl/>
        <w:numPr>
          <w:ilvl w:val="0"/>
          <w:numId w:val="4"/>
        </w:numPr>
        <w:spacing w:before="156" w:beforeLines="50" w:line="360" w:lineRule="auto"/>
        <w:ind w:firstLine="482" w:firstLineChars="200"/>
        <w:rPr>
          <w:b/>
          <w:bCs/>
          <w:sz w:val="24"/>
        </w:rPr>
      </w:pPr>
      <w:r>
        <w:rPr>
          <w:rFonts w:hint="eastAsia"/>
          <w:b/>
          <w:bCs/>
          <w:sz w:val="24"/>
        </w:rPr>
        <w:t>评标办法（综合评估法）</w:t>
      </w:r>
    </w:p>
    <w:tbl>
      <w:tblPr>
        <w:tblStyle w:val="19"/>
        <w:tblW w:w="52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16"/>
        <w:gridCol w:w="1138"/>
        <w:gridCol w:w="2337"/>
        <w:gridCol w:w="4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16" w:type="pct"/>
            <w:gridSpan w:val="2"/>
            <w:vAlign w:val="center"/>
          </w:tcPr>
          <w:p>
            <w:pPr>
              <w:pStyle w:val="33"/>
              <w:adjustRightInd w:val="0"/>
              <w:snapToGrid w:val="0"/>
              <w:spacing w:line="360" w:lineRule="auto"/>
              <w:jc w:val="center"/>
              <w:rPr>
                <w:bCs/>
                <w:sz w:val="24"/>
              </w:rPr>
            </w:pPr>
            <w:r>
              <w:rPr>
                <w:rFonts w:hint="eastAsia"/>
                <w:bCs/>
                <w:sz w:val="24"/>
              </w:rPr>
              <w:t>条款号</w:t>
            </w:r>
          </w:p>
        </w:tc>
        <w:tc>
          <w:tcPr>
            <w:tcW w:w="1261" w:type="pct"/>
            <w:vAlign w:val="center"/>
          </w:tcPr>
          <w:p>
            <w:pPr>
              <w:pStyle w:val="33"/>
              <w:adjustRightInd w:val="0"/>
              <w:snapToGrid w:val="0"/>
              <w:spacing w:line="360" w:lineRule="auto"/>
              <w:jc w:val="center"/>
              <w:rPr>
                <w:bCs/>
                <w:sz w:val="24"/>
              </w:rPr>
            </w:pPr>
            <w:r>
              <w:rPr>
                <w:rFonts w:hint="eastAsia"/>
                <w:bCs/>
                <w:sz w:val="24"/>
              </w:rPr>
              <w:t>条款内容</w:t>
            </w:r>
          </w:p>
        </w:tc>
        <w:tc>
          <w:tcPr>
            <w:tcW w:w="2521" w:type="pct"/>
            <w:vAlign w:val="center"/>
          </w:tcPr>
          <w:p>
            <w:pPr>
              <w:pStyle w:val="33"/>
              <w:adjustRightInd w:val="0"/>
              <w:snapToGrid w:val="0"/>
              <w:spacing w:line="360" w:lineRule="auto"/>
              <w:rPr>
                <w:bCs/>
                <w:sz w:val="24"/>
              </w:rPr>
            </w:pPr>
            <w:r>
              <w:rPr>
                <w:rFonts w:hint="eastAsia"/>
                <w:bCs/>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16" w:type="pct"/>
            <w:gridSpan w:val="2"/>
            <w:vAlign w:val="center"/>
          </w:tcPr>
          <w:p>
            <w:pPr>
              <w:pStyle w:val="33"/>
              <w:adjustRightInd w:val="0"/>
              <w:snapToGrid w:val="0"/>
              <w:spacing w:line="360" w:lineRule="auto"/>
              <w:jc w:val="center"/>
              <w:rPr>
                <w:bCs/>
                <w:sz w:val="24"/>
              </w:rPr>
            </w:pPr>
            <w:r>
              <w:rPr>
                <w:bCs/>
                <w:sz w:val="24"/>
              </w:rPr>
              <w:t>2.2.1</w:t>
            </w:r>
          </w:p>
        </w:tc>
        <w:tc>
          <w:tcPr>
            <w:tcW w:w="1261" w:type="pct"/>
            <w:vAlign w:val="center"/>
          </w:tcPr>
          <w:p>
            <w:pPr>
              <w:pStyle w:val="33"/>
              <w:adjustRightInd w:val="0"/>
              <w:snapToGrid w:val="0"/>
              <w:spacing w:line="360" w:lineRule="auto"/>
              <w:ind w:firstLine="480" w:firstLineChars="200"/>
              <w:jc w:val="center"/>
              <w:rPr>
                <w:bCs/>
                <w:sz w:val="24"/>
              </w:rPr>
            </w:pPr>
            <w:r>
              <w:rPr>
                <w:rFonts w:hint="eastAsia"/>
                <w:bCs/>
                <w:sz w:val="24"/>
              </w:rPr>
              <w:t>分值构成</w:t>
            </w:r>
          </w:p>
          <w:p>
            <w:pPr>
              <w:pStyle w:val="33"/>
              <w:adjustRightInd w:val="0"/>
              <w:snapToGrid w:val="0"/>
              <w:spacing w:line="360" w:lineRule="auto"/>
              <w:ind w:firstLine="480" w:firstLineChars="200"/>
              <w:jc w:val="center"/>
              <w:rPr>
                <w:bCs/>
                <w:sz w:val="24"/>
              </w:rPr>
            </w:pPr>
            <w:r>
              <w:rPr>
                <w:bCs/>
                <w:sz w:val="24"/>
              </w:rPr>
              <w:t>(</w:t>
            </w:r>
            <w:r>
              <w:rPr>
                <w:rFonts w:hint="eastAsia"/>
                <w:bCs/>
                <w:sz w:val="24"/>
              </w:rPr>
              <w:t>总分</w:t>
            </w:r>
            <w:r>
              <w:rPr>
                <w:bCs/>
                <w:sz w:val="24"/>
              </w:rPr>
              <w:t xml:space="preserve">100 </w:t>
            </w:r>
            <w:r>
              <w:rPr>
                <w:rFonts w:hint="eastAsia"/>
                <w:bCs/>
                <w:sz w:val="24"/>
              </w:rPr>
              <w:t>分</w:t>
            </w:r>
            <w:r>
              <w:rPr>
                <w:bCs/>
                <w:sz w:val="24"/>
              </w:rPr>
              <w:t>)</w:t>
            </w:r>
          </w:p>
        </w:tc>
        <w:tc>
          <w:tcPr>
            <w:tcW w:w="2521" w:type="pct"/>
            <w:vAlign w:val="center"/>
          </w:tcPr>
          <w:p>
            <w:pPr>
              <w:pStyle w:val="33"/>
              <w:tabs>
                <w:tab w:val="left" w:pos="1889"/>
              </w:tabs>
              <w:adjustRightInd w:val="0"/>
              <w:snapToGrid w:val="0"/>
              <w:spacing w:line="360" w:lineRule="auto"/>
              <w:ind w:firstLine="480" w:firstLineChars="200"/>
              <w:rPr>
                <w:bCs/>
                <w:sz w:val="24"/>
              </w:rPr>
            </w:pPr>
            <w:r>
              <w:rPr>
                <w:rFonts w:hint="eastAsia"/>
                <w:bCs/>
                <w:sz w:val="24"/>
              </w:rPr>
              <w:t>商务部分：</w:t>
            </w:r>
            <w:r>
              <w:rPr>
                <w:rFonts w:hint="eastAsia"/>
                <w:bCs/>
                <w:sz w:val="24"/>
                <w:u w:val="single"/>
                <w:lang w:val="en-US" w:eastAsia="zh-CN"/>
              </w:rPr>
              <w:t>20</w:t>
            </w:r>
            <w:r>
              <w:rPr>
                <w:rFonts w:hint="eastAsia"/>
                <w:bCs/>
                <w:sz w:val="24"/>
              </w:rPr>
              <w:t>分</w:t>
            </w:r>
          </w:p>
          <w:p>
            <w:pPr>
              <w:pStyle w:val="33"/>
              <w:tabs>
                <w:tab w:val="left" w:pos="1889"/>
              </w:tabs>
              <w:adjustRightInd w:val="0"/>
              <w:snapToGrid w:val="0"/>
              <w:spacing w:line="360" w:lineRule="auto"/>
              <w:ind w:firstLine="480" w:firstLineChars="200"/>
              <w:rPr>
                <w:bCs/>
                <w:sz w:val="24"/>
              </w:rPr>
            </w:pPr>
            <w:r>
              <w:rPr>
                <w:rFonts w:hint="eastAsia"/>
                <w:bCs/>
                <w:sz w:val="24"/>
              </w:rPr>
              <w:t>技术部分：</w:t>
            </w:r>
            <w:r>
              <w:rPr>
                <w:rFonts w:hint="eastAsia"/>
                <w:bCs/>
                <w:sz w:val="24"/>
                <w:u w:val="single"/>
                <w:lang w:val="en-US" w:eastAsia="zh-CN"/>
              </w:rPr>
              <w:t>60</w:t>
            </w:r>
            <w:r>
              <w:rPr>
                <w:rFonts w:hint="eastAsia"/>
                <w:bCs/>
                <w:sz w:val="24"/>
              </w:rPr>
              <w:t>分</w:t>
            </w:r>
          </w:p>
          <w:p>
            <w:pPr>
              <w:pStyle w:val="33"/>
              <w:tabs>
                <w:tab w:val="left" w:pos="1889"/>
              </w:tabs>
              <w:adjustRightInd w:val="0"/>
              <w:snapToGrid w:val="0"/>
              <w:spacing w:line="360" w:lineRule="auto"/>
              <w:ind w:firstLine="480" w:firstLineChars="200"/>
              <w:rPr>
                <w:bCs/>
                <w:sz w:val="24"/>
              </w:rPr>
            </w:pPr>
            <w:r>
              <w:rPr>
                <w:rFonts w:hint="eastAsia"/>
                <w:bCs/>
                <w:sz w:val="24"/>
              </w:rPr>
              <w:t>投标报价：</w:t>
            </w:r>
            <w:r>
              <w:rPr>
                <w:rFonts w:hint="eastAsia"/>
                <w:bCs/>
                <w:sz w:val="24"/>
                <w:u w:val="single"/>
              </w:rPr>
              <w:t>2</w:t>
            </w:r>
            <w:r>
              <w:rPr>
                <w:bCs/>
                <w:sz w:val="24"/>
                <w:u w:val="single"/>
              </w:rPr>
              <w:t>0</w:t>
            </w:r>
            <w:r>
              <w:rPr>
                <w:rFonts w:hint="eastAsia"/>
                <w:bCs/>
                <w:sz w:val="24"/>
              </w:rPr>
              <w:t>分</w:t>
            </w:r>
          </w:p>
          <w:p>
            <w:pPr>
              <w:pStyle w:val="33"/>
              <w:tabs>
                <w:tab w:val="left" w:pos="1889"/>
              </w:tabs>
              <w:adjustRightInd w:val="0"/>
              <w:snapToGrid w:val="0"/>
              <w:spacing w:line="360" w:lineRule="auto"/>
              <w:ind w:firstLine="480" w:firstLineChars="200"/>
              <w:rPr>
                <w:bCs/>
                <w:sz w:val="24"/>
              </w:rPr>
            </w:pPr>
            <w:r>
              <w:rPr>
                <w:rFonts w:hint="eastAsia"/>
                <w:bCs/>
                <w:sz w:val="24"/>
              </w:rPr>
              <w:t>其他评分因素：</w:t>
            </w:r>
            <w:r>
              <w:rPr>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16" w:type="pct"/>
            <w:gridSpan w:val="2"/>
            <w:vAlign w:val="center"/>
          </w:tcPr>
          <w:p>
            <w:pPr>
              <w:pStyle w:val="33"/>
              <w:adjustRightInd w:val="0"/>
              <w:snapToGrid w:val="0"/>
              <w:spacing w:line="360" w:lineRule="auto"/>
              <w:jc w:val="center"/>
              <w:rPr>
                <w:bCs/>
                <w:sz w:val="24"/>
              </w:rPr>
            </w:pPr>
            <w:r>
              <w:rPr>
                <w:rFonts w:hint="eastAsia"/>
                <w:bCs/>
                <w:sz w:val="24"/>
              </w:rPr>
              <w:t>条款号</w:t>
            </w:r>
          </w:p>
        </w:tc>
        <w:tc>
          <w:tcPr>
            <w:tcW w:w="1261" w:type="pct"/>
            <w:vAlign w:val="center"/>
          </w:tcPr>
          <w:p>
            <w:pPr>
              <w:pStyle w:val="33"/>
              <w:adjustRightInd w:val="0"/>
              <w:snapToGrid w:val="0"/>
              <w:spacing w:line="360" w:lineRule="auto"/>
              <w:jc w:val="center"/>
              <w:rPr>
                <w:bCs/>
                <w:sz w:val="24"/>
              </w:rPr>
            </w:pPr>
            <w:r>
              <w:rPr>
                <w:rFonts w:hint="eastAsia"/>
                <w:bCs/>
                <w:sz w:val="24"/>
              </w:rPr>
              <w:t>评分因素</w:t>
            </w:r>
          </w:p>
        </w:tc>
        <w:tc>
          <w:tcPr>
            <w:tcW w:w="2521" w:type="pct"/>
            <w:vAlign w:val="center"/>
          </w:tcPr>
          <w:p>
            <w:pPr>
              <w:pStyle w:val="33"/>
              <w:adjustRightInd w:val="0"/>
              <w:snapToGrid w:val="0"/>
              <w:spacing w:line="360" w:lineRule="auto"/>
              <w:rPr>
                <w:bCs/>
                <w:sz w:val="24"/>
              </w:rPr>
            </w:pPr>
            <w:r>
              <w:rPr>
                <w:rFonts w:hint="eastAsia"/>
                <w:bCs/>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602" w:type="pct"/>
            <w:vMerge w:val="restart"/>
            <w:vAlign w:val="center"/>
          </w:tcPr>
          <w:p>
            <w:pPr>
              <w:pStyle w:val="33"/>
              <w:adjustRightInd w:val="0"/>
              <w:snapToGrid w:val="0"/>
              <w:spacing w:line="360" w:lineRule="auto"/>
              <w:jc w:val="center"/>
              <w:rPr>
                <w:bCs/>
                <w:sz w:val="24"/>
              </w:rPr>
            </w:pPr>
            <w:r>
              <w:rPr>
                <w:bCs/>
                <w:sz w:val="24"/>
              </w:rPr>
              <w:t>2.2.2</w:t>
            </w:r>
            <w:r>
              <w:rPr>
                <w:rFonts w:hint="eastAsia"/>
                <w:bCs/>
                <w:sz w:val="24"/>
              </w:rPr>
              <w:t>（</w:t>
            </w:r>
            <w:r>
              <w:rPr>
                <w:bCs/>
                <w:sz w:val="24"/>
              </w:rPr>
              <w:t>1</w:t>
            </w:r>
            <w:r>
              <w:rPr>
                <w:rFonts w:hint="eastAsia"/>
                <w:bCs/>
                <w:sz w:val="24"/>
              </w:rPr>
              <w:t>）</w:t>
            </w:r>
          </w:p>
        </w:tc>
        <w:tc>
          <w:tcPr>
            <w:tcW w:w="614" w:type="pct"/>
            <w:vMerge w:val="restart"/>
            <w:vAlign w:val="center"/>
          </w:tcPr>
          <w:p>
            <w:pPr>
              <w:pStyle w:val="33"/>
              <w:adjustRightInd w:val="0"/>
              <w:snapToGrid w:val="0"/>
              <w:spacing w:line="360" w:lineRule="auto"/>
              <w:jc w:val="center"/>
              <w:rPr>
                <w:bCs/>
                <w:sz w:val="24"/>
              </w:rPr>
            </w:pPr>
            <w:r>
              <w:rPr>
                <w:rFonts w:hint="eastAsia"/>
                <w:bCs/>
                <w:sz w:val="24"/>
              </w:rPr>
              <w:t>商务评分标准</w:t>
            </w:r>
          </w:p>
        </w:tc>
        <w:tc>
          <w:tcPr>
            <w:tcW w:w="1261" w:type="pct"/>
            <w:tcBorders>
              <w:bottom w:val="single" w:color="auto" w:sz="4" w:space="0"/>
            </w:tcBorders>
            <w:vAlign w:val="center"/>
          </w:tcPr>
          <w:p>
            <w:pPr>
              <w:adjustRightInd w:val="0"/>
              <w:snapToGrid w:val="0"/>
              <w:spacing w:line="400" w:lineRule="exact"/>
              <w:ind w:firstLine="480" w:firstLineChars="200"/>
              <w:jc w:val="both"/>
              <w:rPr>
                <w:b/>
                <w:sz w:val="24"/>
              </w:rPr>
            </w:pPr>
            <w:r>
              <w:rPr>
                <w:rFonts w:hint="eastAsia"/>
                <w:sz w:val="24"/>
                <w:lang w:val="en-US" w:eastAsia="zh-CN"/>
              </w:rPr>
              <w:t>产品实力</w:t>
            </w:r>
            <w:r>
              <w:rPr>
                <w:rFonts w:hint="eastAsia"/>
                <w:sz w:val="24"/>
              </w:rPr>
              <w:t>（</w:t>
            </w:r>
            <w:r>
              <w:rPr>
                <w:rFonts w:hint="eastAsia"/>
                <w:sz w:val="24"/>
                <w:lang w:val="en-US" w:eastAsia="zh-CN"/>
              </w:rPr>
              <w:t>8</w:t>
            </w:r>
            <w:r>
              <w:rPr>
                <w:rFonts w:hint="eastAsia"/>
                <w:sz w:val="24"/>
              </w:rPr>
              <w:t>分）</w:t>
            </w:r>
          </w:p>
        </w:tc>
        <w:tc>
          <w:tcPr>
            <w:tcW w:w="2521" w:type="pct"/>
            <w:tcBorders>
              <w:bottom w:val="single" w:color="auto" w:sz="4" w:space="0"/>
            </w:tcBorders>
            <w:vAlign w:val="center"/>
          </w:tcPr>
          <w:p>
            <w:pPr>
              <w:spacing w:line="400" w:lineRule="exact"/>
              <w:rPr>
                <w:rFonts w:hint="eastAsia"/>
                <w:sz w:val="24"/>
              </w:rPr>
            </w:pPr>
            <w:r>
              <w:rPr>
                <w:rFonts w:hint="eastAsia"/>
                <w:sz w:val="24"/>
              </w:rPr>
              <w:t>1、软件制造商具备基于深度学习的胸部CT影像肺结节自动检测和分析软件的《中华人民共和国国家版权局计算机软件著作权登记证书》的得</w:t>
            </w:r>
            <w:r>
              <w:rPr>
                <w:rFonts w:hint="eastAsia"/>
                <w:sz w:val="24"/>
                <w:lang w:val="en-US" w:eastAsia="zh-CN"/>
              </w:rPr>
              <w:t>4</w:t>
            </w:r>
            <w:r>
              <w:rPr>
                <w:rFonts w:hint="eastAsia"/>
                <w:sz w:val="24"/>
              </w:rPr>
              <w:t>分。</w:t>
            </w:r>
          </w:p>
          <w:p>
            <w:pPr>
              <w:spacing w:line="400" w:lineRule="exact"/>
              <w:rPr>
                <w:sz w:val="24"/>
              </w:rPr>
            </w:pPr>
            <w:r>
              <w:rPr>
                <w:rFonts w:hint="eastAsia"/>
                <w:sz w:val="24"/>
              </w:rPr>
              <w:t>2、所投产品制造商集团具备两款或两款以上人工智能辅助诊断产品入选《优秀国产医疗设备产品目录》得</w:t>
            </w:r>
            <w:r>
              <w:rPr>
                <w:rFonts w:hint="eastAsia"/>
                <w:sz w:val="24"/>
                <w:lang w:val="en-US" w:eastAsia="zh-CN"/>
              </w:rPr>
              <w:t>4</w:t>
            </w:r>
            <w:r>
              <w:rPr>
                <w:rFonts w:hint="eastAsia"/>
                <w:sz w:val="24"/>
              </w:rPr>
              <w:t>分，一款入选得1.5分，未入选得0分。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02" w:type="pct"/>
            <w:vMerge w:val="continue"/>
            <w:vAlign w:val="center"/>
          </w:tcPr>
          <w:p>
            <w:pPr>
              <w:pStyle w:val="33"/>
              <w:adjustRightInd w:val="0"/>
              <w:snapToGrid w:val="0"/>
              <w:spacing w:line="360" w:lineRule="auto"/>
              <w:jc w:val="center"/>
              <w:rPr>
                <w:bCs/>
                <w:sz w:val="24"/>
              </w:rPr>
            </w:pPr>
          </w:p>
        </w:tc>
        <w:tc>
          <w:tcPr>
            <w:tcW w:w="614" w:type="pct"/>
            <w:vMerge w:val="continue"/>
            <w:vAlign w:val="center"/>
          </w:tcPr>
          <w:p>
            <w:pPr>
              <w:pStyle w:val="33"/>
              <w:adjustRightInd w:val="0"/>
              <w:snapToGrid w:val="0"/>
              <w:spacing w:line="360" w:lineRule="auto"/>
              <w:jc w:val="center"/>
              <w:rPr>
                <w:rFonts w:hint="eastAsia"/>
                <w:bCs/>
                <w:sz w:val="24"/>
              </w:rPr>
            </w:pPr>
          </w:p>
        </w:tc>
        <w:tc>
          <w:tcPr>
            <w:tcW w:w="1261" w:type="pct"/>
            <w:tcBorders>
              <w:top w:val="single" w:color="auto" w:sz="4" w:space="0"/>
            </w:tcBorders>
            <w:vAlign w:val="center"/>
          </w:tcPr>
          <w:p>
            <w:pPr>
              <w:adjustRightInd w:val="0"/>
              <w:snapToGrid w:val="0"/>
              <w:spacing w:line="400" w:lineRule="exact"/>
              <w:ind w:firstLine="480" w:firstLineChars="200"/>
              <w:jc w:val="both"/>
              <w:rPr>
                <w:rFonts w:hint="eastAsia"/>
                <w:sz w:val="24"/>
                <w:lang w:val="en-US" w:eastAsia="zh-CN"/>
              </w:rPr>
            </w:pPr>
            <w:r>
              <w:rPr>
                <w:rFonts w:hint="eastAsia"/>
                <w:sz w:val="24"/>
                <w:lang w:val="en-US" w:eastAsia="zh-CN"/>
              </w:rPr>
              <w:t>企业认证（12分）</w:t>
            </w:r>
          </w:p>
        </w:tc>
        <w:tc>
          <w:tcPr>
            <w:tcW w:w="2521" w:type="pct"/>
            <w:tcBorders>
              <w:top w:val="single" w:color="auto" w:sz="4" w:space="0"/>
            </w:tcBorders>
            <w:vAlign w:val="center"/>
          </w:tcPr>
          <w:p>
            <w:pPr>
              <w:spacing w:line="400" w:lineRule="exact"/>
              <w:rPr>
                <w:rFonts w:hint="eastAsia"/>
                <w:sz w:val="24"/>
              </w:rPr>
            </w:pPr>
            <w:r>
              <w:rPr>
                <w:rFonts w:hint="eastAsia"/>
                <w:sz w:val="24"/>
              </w:rPr>
              <w:t>1、 所投产品制造商通过ISO13485质量体系认证并提供相关证明，得3分，未提供得0分；</w:t>
            </w:r>
          </w:p>
          <w:p>
            <w:pPr>
              <w:spacing w:line="400" w:lineRule="exact"/>
              <w:rPr>
                <w:rFonts w:hint="eastAsia"/>
                <w:sz w:val="24"/>
              </w:rPr>
            </w:pPr>
            <w:r>
              <w:rPr>
                <w:rFonts w:hint="eastAsia"/>
                <w:sz w:val="24"/>
              </w:rPr>
              <w:t>2、 所投产品制造商获得国家高新技术企业证书并提供相关证明，得3分，未提供得0分；</w:t>
            </w:r>
          </w:p>
          <w:p>
            <w:pPr>
              <w:spacing w:line="400" w:lineRule="exact"/>
              <w:rPr>
                <w:rFonts w:hint="eastAsia"/>
                <w:sz w:val="24"/>
              </w:rPr>
            </w:pPr>
            <w:r>
              <w:rPr>
                <w:rFonts w:hint="eastAsia"/>
                <w:sz w:val="24"/>
              </w:rPr>
              <w:t>3、 所投产品制造商获得国家级‘专精特新’类企业认证，并提供相关证明，得6分，未提供得0分。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02" w:type="pct"/>
            <w:vMerge w:val="restart"/>
            <w:vAlign w:val="center"/>
          </w:tcPr>
          <w:p>
            <w:pPr>
              <w:pStyle w:val="33"/>
              <w:adjustRightInd w:val="0"/>
              <w:snapToGrid w:val="0"/>
              <w:spacing w:line="360" w:lineRule="auto"/>
              <w:ind w:firstLine="480" w:firstLineChars="200"/>
              <w:jc w:val="center"/>
              <w:rPr>
                <w:bCs/>
                <w:sz w:val="24"/>
              </w:rPr>
            </w:pPr>
            <w:r>
              <w:rPr>
                <w:bCs/>
                <w:sz w:val="24"/>
              </w:rPr>
              <w:t>2.2.</w:t>
            </w:r>
            <w:r>
              <w:rPr>
                <w:rFonts w:hint="eastAsia"/>
                <w:bCs/>
                <w:sz w:val="24"/>
              </w:rPr>
              <w:t>2</w:t>
            </w:r>
          </w:p>
          <w:p>
            <w:pPr>
              <w:pStyle w:val="33"/>
              <w:adjustRightInd w:val="0"/>
              <w:snapToGrid w:val="0"/>
              <w:spacing w:line="360" w:lineRule="auto"/>
              <w:ind w:firstLine="480" w:firstLineChars="200"/>
              <w:jc w:val="center"/>
              <w:rPr>
                <w:bCs/>
                <w:sz w:val="24"/>
              </w:rPr>
            </w:pPr>
            <w:r>
              <w:rPr>
                <w:rFonts w:hint="eastAsia"/>
                <w:bCs/>
                <w:sz w:val="24"/>
              </w:rPr>
              <w:t>（</w:t>
            </w:r>
            <w:r>
              <w:rPr>
                <w:bCs/>
                <w:sz w:val="24"/>
              </w:rPr>
              <w:t>2</w:t>
            </w:r>
            <w:r>
              <w:rPr>
                <w:rFonts w:hint="eastAsia"/>
                <w:bCs/>
                <w:sz w:val="24"/>
              </w:rPr>
              <w:t>）</w:t>
            </w:r>
          </w:p>
        </w:tc>
        <w:tc>
          <w:tcPr>
            <w:tcW w:w="614" w:type="pct"/>
            <w:vMerge w:val="restart"/>
            <w:vAlign w:val="center"/>
          </w:tcPr>
          <w:p>
            <w:pPr>
              <w:pStyle w:val="33"/>
              <w:adjustRightInd w:val="0"/>
              <w:snapToGrid w:val="0"/>
              <w:spacing w:line="360" w:lineRule="auto"/>
              <w:jc w:val="center"/>
              <w:rPr>
                <w:bCs/>
                <w:sz w:val="24"/>
              </w:rPr>
            </w:pPr>
            <w:r>
              <w:rPr>
                <w:rFonts w:hint="eastAsia"/>
                <w:bCs/>
                <w:sz w:val="24"/>
              </w:rPr>
              <w:t>技术评分标准</w:t>
            </w:r>
          </w:p>
        </w:tc>
        <w:tc>
          <w:tcPr>
            <w:tcW w:w="1261" w:type="pct"/>
            <w:vAlign w:val="center"/>
          </w:tcPr>
          <w:p>
            <w:pPr>
              <w:spacing w:line="360" w:lineRule="auto"/>
              <w:ind w:left="0" w:leftChars="0" w:firstLine="420" w:firstLineChars="175"/>
              <w:jc w:val="both"/>
              <w:rPr>
                <w:sz w:val="24"/>
              </w:rPr>
            </w:pPr>
            <w:r>
              <w:rPr>
                <w:rFonts w:hint="eastAsia"/>
                <w:sz w:val="24"/>
              </w:rPr>
              <w:t>技术参数符合度</w:t>
            </w:r>
          </w:p>
          <w:p>
            <w:pPr>
              <w:spacing w:line="360" w:lineRule="auto"/>
              <w:ind w:firstLine="480" w:firstLineChars="200"/>
              <w:jc w:val="both"/>
              <w:rPr>
                <w:rFonts w:cs="仿宋"/>
                <w:bCs/>
                <w:sz w:val="24"/>
              </w:rPr>
            </w:pPr>
            <w:r>
              <w:rPr>
                <w:rFonts w:hint="eastAsia"/>
                <w:sz w:val="24"/>
              </w:rPr>
              <w:t>（</w:t>
            </w:r>
            <w:r>
              <w:rPr>
                <w:rFonts w:hint="eastAsia"/>
                <w:sz w:val="24"/>
                <w:lang w:val="en-US" w:eastAsia="zh-CN"/>
              </w:rPr>
              <w:t>4</w:t>
            </w:r>
            <w:r>
              <w:rPr>
                <w:rFonts w:hint="eastAsia"/>
                <w:sz w:val="24"/>
              </w:rPr>
              <w:t>0分）</w:t>
            </w:r>
          </w:p>
        </w:tc>
        <w:tc>
          <w:tcPr>
            <w:tcW w:w="2521" w:type="pct"/>
            <w:vAlign w:val="center"/>
          </w:tcPr>
          <w:p>
            <w:pPr>
              <w:spacing w:line="400" w:lineRule="exact"/>
              <w:ind w:firstLine="480" w:firstLineChars="200"/>
              <w:rPr>
                <w:rFonts w:cs="仿宋"/>
                <w:bCs/>
                <w:sz w:val="24"/>
              </w:rPr>
            </w:pPr>
            <w:r>
              <w:rPr>
                <w:rFonts w:hint="eastAsia"/>
                <w:sz w:val="24"/>
              </w:rPr>
              <w:t>完全满足采购文件中的“系统功能技术参数要求”中“功能描述”要求的得 40分。 1、其中带“▲”号项数共9项，共36分，供应商得分=（满足带“▲”号的项数÷带“▲”号的总项数）×4。 2、不带“▲”号项数共40项，共4分，供应商得分=（满足非“▲”号的项数÷非“▲”号的总项数）×0.1。 注：带“▲”号需提供系统功能截图证明材料，未提供的视为不满足（负偏离）。以“1、...”标识为一项。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02" w:type="pct"/>
            <w:vMerge w:val="continue"/>
            <w:vAlign w:val="center"/>
          </w:tcPr>
          <w:p>
            <w:pPr>
              <w:pStyle w:val="33"/>
              <w:adjustRightInd w:val="0"/>
              <w:snapToGrid w:val="0"/>
              <w:spacing w:line="360" w:lineRule="auto"/>
              <w:jc w:val="center"/>
              <w:rPr>
                <w:bCs/>
                <w:sz w:val="24"/>
              </w:rPr>
            </w:pPr>
          </w:p>
        </w:tc>
        <w:tc>
          <w:tcPr>
            <w:tcW w:w="614" w:type="pct"/>
            <w:vMerge w:val="continue"/>
            <w:vAlign w:val="center"/>
          </w:tcPr>
          <w:p>
            <w:pPr>
              <w:pStyle w:val="33"/>
              <w:adjustRightInd w:val="0"/>
              <w:snapToGrid w:val="0"/>
              <w:spacing w:line="360" w:lineRule="auto"/>
              <w:jc w:val="center"/>
              <w:rPr>
                <w:bCs/>
                <w:sz w:val="24"/>
              </w:rPr>
            </w:pPr>
          </w:p>
        </w:tc>
        <w:tc>
          <w:tcPr>
            <w:tcW w:w="1261" w:type="pct"/>
            <w:vAlign w:val="center"/>
          </w:tcPr>
          <w:p>
            <w:pPr>
              <w:spacing w:line="400" w:lineRule="exact"/>
              <w:ind w:firstLine="480" w:firstLineChars="200"/>
              <w:jc w:val="both"/>
              <w:rPr>
                <w:sz w:val="24"/>
              </w:rPr>
            </w:pPr>
            <w:r>
              <w:rPr>
                <w:rFonts w:hint="eastAsia"/>
                <w:sz w:val="24"/>
                <w:lang w:val="en-US" w:eastAsia="zh-CN"/>
              </w:rPr>
              <w:t>项目</w:t>
            </w:r>
            <w:r>
              <w:rPr>
                <w:rFonts w:hint="eastAsia"/>
                <w:sz w:val="24"/>
              </w:rPr>
              <w:t>实施方案</w:t>
            </w:r>
          </w:p>
          <w:p>
            <w:pPr>
              <w:spacing w:line="400" w:lineRule="exact"/>
              <w:ind w:firstLine="480" w:firstLineChars="200"/>
              <w:jc w:val="both"/>
              <w:rPr>
                <w:sz w:val="24"/>
              </w:rPr>
            </w:pPr>
            <w:r>
              <w:rPr>
                <w:rFonts w:hint="eastAsia"/>
                <w:sz w:val="24"/>
              </w:rPr>
              <w:t>（</w:t>
            </w:r>
            <w:r>
              <w:rPr>
                <w:rFonts w:hint="eastAsia"/>
                <w:sz w:val="24"/>
                <w:lang w:val="en-US" w:eastAsia="zh-CN"/>
              </w:rPr>
              <w:t>10</w:t>
            </w:r>
            <w:r>
              <w:rPr>
                <w:rFonts w:hint="eastAsia"/>
                <w:sz w:val="24"/>
              </w:rPr>
              <w:t>分）</w:t>
            </w:r>
          </w:p>
        </w:tc>
        <w:tc>
          <w:tcPr>
            <w:tcW w:w="2521" w:type="pct"/>
            <w:vAlign w:val="center"/>
          </w:tcPr>
          <w:p>
            <w:pPr>
              <w:spacing w:line="400" w:lineRule="exact"/>
              <w:rPr>
                <w:color w:val="000000"/>
                <w:sz w:val="24"/>
              </w:rPr>
            </w:pPr>
            <w:r>
              <w:rPr>
                <w:rFonts w:hint="eastAsia"/>
                <w:sz w:val="24"/>
              </w:rPr>
              <w:t>供应商针对本项目提供实施方案，内容应当包含但不仅限于以下内容：①进度计划（至少包括服务期间的服务内容，服务的前期准备，服务的验收准备等）；②安全保障措施（至少包括产品运输途中的安全措施、产品使用期间的安全措施、产品出现问题时的措施等）等。以上方案内容齐全的得</w:t>
            </w:r>
            <w:r>
              <w:rPr>
                <w:rFonts w:hint="eastAsia"/>
                <w:sz w:val="24"/>
                <w:lang w:val="en-US" w:eastAsia="zh-CN"/>
              </w:rPr>
              <w:t>10</w:t>
            </w:r>
            <w:r>
              <w:rPr>
                <w:rFonts w:hint="eastAsia"/>
                <w:sz w:val="24"/>
              </w:rPr>
              <w:t>分，每缺少一项扣</w:t>
            </w:r>
            <w:r>
              <w:rPr>
                <w:rFonts w:hint="eastAsia"/>
                <w:sz w:val="24"/>
                <w:lang w:val="en-US" w:eastAsia="zh-CN"/>
              </w:rPr>
              <w:t>5</w:t>
            </w:r>
            <w:r>
              <w:rPr>
                <w:rFonts w:hint="eastAsia"/>
                <w:sz w:val="24"/>
              </w:rPr>
              <w:t>分；每有一项存在内容缺陷扣 2分，扣完为止。（内容缺陷是指：非专门针对本项目或不适用项目特性的情形、内容不完整或 缺少关键节点、套用其他项目内容、内容前后矛盾、涉及的规范 及标准错误、不利于项目实施、不可能实现的情形等任意一种情形）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02" w:type="pct"/>
            <w:vMerge w:val="continue"/>
            <w:vAlign w:val="center"/>
          </w:tcPr>
          <w:p>
            <w:pPr>
              <w:pStyle w:val="33"/>
              <w:adjustRightInd w:val="0"/>
              <w:snapToGrid w:val="0"/>
              <w:spacing w:line="360" w:lineRule="auto"/>
              <w:jc w:val="center"/>
              <w:rPr>
                <w:bCs/>
                <w:sz w:val="24"/>
              </w:rPr>
            </w:pPr>
          </w:p>
        </w:tc>
        <w:tc>
          <w:tcPr>
            <w:tcW w:w="614" w:type="pct"/>
            <w:vMerge w:val="continue"/>
            <w:vAlign w:val="center"/>
          </w:tcPr>
          <w:p>
            <w:pPr>
              <w:pStyle w:val="33"/>
              <w:adjustRightInd w:val="0"/>
              <w:snapToGrid w:val="0"/>
              <w:spacing w:line="360" w:lineRule="auto"/>
              <w:jc w:val="center"/>
              <w:rPr>
                <w:bCs/>
                <w:sz w:val="24"/>
              </w:rPr>
            </w:pPr>
          </w:p>
        </w:tc>
        <w:tc>
          <w:tcPr>
            <w:tcW w:w="1261" w:type="pct"/>
            <w:vAlign w:val="center"/>
          </w:tcPr>
          <w:p>
            <w:pPr>
              <w:spacing w:line="400" w:lineRule="exact"/>
              <w:ind w:firstLine="480" w:firstLineChars="200"/>
              <w:jc w:val="both"/>
              <w:rPr>
                <w:sz w:val="24"/>
              </w:rPr>
            </w:pPr>
            <w:r>
              <w:rPr>
                <w:rFonts w:hint="eastAsia"/>
                <w:sz w:val="24"/>
              </w:rPr>
              <w:t>售后服务承诺</w:t>
            </w:r>
          </w:p>
          <w:p>
            <w:pPr>
              <w:spacing w:line="400" w:lineRule="exact"/>
              <w:ind w:firstLine="480" w:firstLineChars="200"/>
              <w:jc w:val="both"/>
              <w:rPr>
                <w:sz w:val="24"/>
              </w:rPr>
            </w:pPr>
            <w:r>
              <w:rPr>
                <w:rFonts w:hint="eastAsia"/>
                <w:sz w:val="24"/>
              </w:rPr>
              <w:t>（</w:t>
            </w:r>
            <w:r>
              <w:rPr>
                <w:rFonts w:hint="eastAsia"/>
                <w:sz w:val="24"/>
                <w:lang w:val="en-US" w:eastAsia="zh-CN"/>
              </w:rPr>
              <w:t>8</w:t>
            </w:r>
            <w:r>
              <w:rPr>
                <w:rFonts w:hint="eastAsia"/>
                <w:sz w:val="24"/>
              </w:rPr>
              <w:t>分）</w:t>
            </w:r>
          </w:p>
        </w:tc>
        <w:tc>
          <w:tcPr>
            <w:tcW w:w="2521" w:type="pct"/>
            <w:vAlign w:val="center"/>
          </w:tcPr>
          <w:p>
            <w:pPr>
              <w:spacing w:line="400" w:lineRule="exact"/>
              <w:rPr>
                <w:sz w:val="24"/>
              </w:rPr>
            </w:pPr>
            <w:r>
              <w:rPr>
                <w:rFonts w:hint="eastAsia"/>
                <w:sz w:val="24"/>
              </w:rPr>
              <w:t>根据供应商针对本项目提供的售后服务方案进行评审，包括但不限于以下几点： ①维护服务响应计划、②后期软件升级计划。完全满足以上要点内容的得</w:t>
            </w:r>
            <w:r>
              <w:rPr>
                <w:rFonts w:hint="eastAsia"/>
                <w:sz w:val="24"/>
                <w:lang w:val="en-US" w:eastAsia="zh-CN"/>
              </w:rPr>
              <w:t>8</w:t>
            </w:r>
            <w:r>
              <w:rPr>
                <w:rFonts w:hint="eastAsia"/>
                <w:sz w:val="24"/>
              </w:rPr>
              <w:t>分；方案中每有一项漏项（包括只有标题无实际内容）的扣</w:t>
            </w:r>
            <w:r>
              <w:rPr>
                <w:rFonts w:hint="eastAsia"/>
                <w:sz w:val="24"/>
                <w:lang w:val="en-US" w:eastAsia="zh-CN"/>
              </w:rPr>
              <w:t>4</w:t>
            </w:r>
            <w:r>
              <w:rPr>
                <w:rFonts w:hint="eastAsia"/>
                <w:sz w:val="24"/>
              </w:rPr>
              <w:t>分；每有一处缺陷的扣</w:t>
            </w:r>
            <w:r>
              <w:rPr>
                <w:rFonts w:hint="eastAsia"/>
                <w:sz w:val="24"/>
                <w:lang w:val="en-US" w:eastAsia="zh-CN"/>
              </w:rPr>
              <w:t>2</w:t>
            </w:r>
            <w:r>
              <w:rPr>
                <w:rFonts w:hint="eastAsia"/>
                <w:sz w:val="24"/>
              </w:rPr>
              <w:t>分，扣完为止。 注：缺陷是指内容存在①套用其他项目方案（项目名称、实施地点与本项目无关）、②错别字或病句、③引用法律、规范、标准存在失效或错误（与本项目无关）、④内容与本项目的服务要求不一致的任意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02" w:type="pct"/>
            <w:vMerge w:val="continue"/>
            <w:vAlign w:val="center"/>
          </w:tcPr>
          <w:p>
            <w:pPr>
              <w:pStyle w:val="33"/>
              <w:adjustRightInd w:val="0"/>
              <w:snapToGrid w:val="0"/>
              <w:spacing w:line="360" w:lineRule="auto"/>
              <w:jc w:val="center"/>
              <w:rPr>
                <w:bCs/>
                <w:sz w:val="24"/>
              </w:rPr>
            </w:pPr>
          </w:p>
        </w:tc>
        <w:tc>
          <w:tcPr>
            <w:tcW w:w="614" w:type="pct"/>
            <w:vMerge w:val="continue"/>
            <w:vAlign w:val="center"/>
          </w:tcPr>
          <w:p>
            <w:pPr>
              <w:pStyle w:val="33"/>
              <w:adjustRightInd w:val="0"/>
              <w:snapToGrid w:val="0"/>
              <w:spacing w:line="360" w:lineRule="auto"/>
              <w:jc w:val="center"/>
              <w:rPr>
                <w:bCs/>
                <w:sz w:val="24"/>
              </w:rPr>
            </w:pPr>
          </w:p>
        </w:tc>
        <w:tc>
          <w:tcPr>
            <w:tcW w:w="1261" w:type="pct"/>
            <w:vAlign w:val="center"/>
          </w:tcPr>
          <w:p>
            <w:pPr>
              <w:spacing w:line="400" w:lineRule="exact"/>
              <w:ind w:firstLine="480" w:firstLineChars="200"/>
              <w:jc w:val="both"/>
              <w:rPr>
                <w:bCs/>
                <w:sz w:val="24"/>
              </w:rPr>
            </w:pPr>
            <w:r>
              <w:rPr>
                <w:rFonts w:hint="eastAsia"/>
                <w:bCs/>
                <w:sz w:val="24"/>
              </w:rPr>
              <w:t>免费维保期</w:t>
            </w:r>
          </w:p>
          <w:p>
            <w:pPr>
              <w:spacing w:line="400" w:lineRule="exact"/>
              <w:ind w:firstLine="480" w:firstLineChars="200"/>
              <w:jc w:val="both"/>
              <w:rPr>
                <w:sz w:val="24"/>
              </w:rPr>
            </w:pPr>
            <w:r>
              <w:rPr>
                <w:rFonts w:hint="eastAsia"/>
                <w:bCs/>
                <w:sz w:val="24"/>
              </w:rPr>
              <w:t>（2分）</w:t>
            </w:r>
          </w:p>
        </w:tc>
        <w:tc>
          <w:tcPr>
            <w:tcW w:w="2521" w:type="pct"/>
            <w:vAlign w:val="center"/>
          </w:tcPr>
          <w:p>
            <w:pPr>
              <w:spacing w:line="400" w:lineRule="exact"/>
              <w:ind w:firstLine="480" w:firstLineChars="200"/>
              <w:rPr>
                <w:rFonts w:hint="eastAsia"/>
                <w:sz w:val="24"/>
              </w:rPr>
            </w:pPr>
            <w:r>
              <w:rPr>
                <w:rFonts w:hint="eastAsia"/>
                <w:sz w:val="24"/>
              </w:rPr>
              <w:t>在满足采购文件商务要求维保期（验收合格之日起一年）的基础上，免费维保期限增加一年得1分，本项满分2分。 注：以供应商提供的承诺函作为评审依据。</w:t>
            </w:r>
          </w:p>
          <w:p>
            <w:pPr>
              <w:spacing w:line="400" w:lineRule="exact"/>
              <w:ind w:firstLine="482" w:firstLineChars="200"/>
              <w:rPr>
                <w:sz w:val="24"/>
              </w:rPr>
            </w:pPr>
            <w:r>
              <w:rPr>
                <w:rFonts w:hint="eastAsia"/>
                <w:b/>
                <w:bCs/>
                <w:sz w:val="24"/>
              </w:rPr>
              <w:t>注：以投标响应表或投标人承诺作为评审依据。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0" w:hRule="atLeast"/>
          <w:jc w:val="center"/>
        </w:trPr>
        <w:tc>
          <w:tcPr>
            <w:tcW w:w="602" w:type="pct"/>
            <w:vAlign w:val="center"/>
          </w:tcPr>
          <w:p>
            <w:pPr>
              <w:pStyle w:val="33"/>
              <w:adjustRightInd w:val="0"/>
              <w:snapToGrid w:val="0"/>
              <w:spacing w:line="360" w:lineRule="auto"/>
              <w:ind w:firstLine="480" w:firstLineChars="200"/>
              <w:jc w:val="center"/>
              <w:rPr>
                <w:bCs/>
                <w:sz w:val="24"/>
              </w:rPr>
            </w:pPr>
            <w:r>
              <w:rPr>
                <w:bCs/>
                <w:sz w:val="24"/>
              </w:rPr>
              <w:t>2.2.</w:t>
            </w:r>
            <w:r>
              <w:rPr>
                <w:rFonts w:hint="eastAsia"/>
                <w:bCs/>
                <w:sz w:val="24"/>
              </w:rPr>
              <w:t>2</w:t>
            </w:r>
          </w:p>
          <w:p>
            <w:pPr>
              <w:pStyle w:val="33"/>
              <w:adjustRightInd w:val="0"/>
              <w:snapToGrid w:val="0"/>
              <w:spacing w:line="360" w:lineRule="auto"/>
              <w:ind w:firstLine="480" w:firstLineChars="200"/>
              <w:jc w:val="center"/>
              <w:rPr>
                <w:bCs/>
                <w:sz w:val="24"/>
              </w:rPr>
            </w:pPr>
            <w:r>
              <w:rPr>
                <w:rFonts w:hint="eastAsia"/>
                <w:bCs/>
                <w:sz w:val="24"/>
              </w:rPr>
              <w:t>（</w:t>
            </w:r>
            <w:r>
              <w:rPr>
                <w:bCs/>
                <w:sz w:val="24"/>
              </w:rPr>
              <w:t>3</w:t>
            </w:r>
            <w:r>
              <w:rPr>
                <w:rFonts w:hint="eastAsia"/>
                <w:bCs/>
                <w:sz w:val="24"/>
              </w:rPr>
              <w:t>）</w:t>
            </w:r>
          </w:p>
        </w:tc>
        <w:tc>
          <w:tcPr>
            <w:tcW w:w="614" w:type="pct"/>
            <w:vAlign w:val="center"/>
          </w:tcPr>
          <w:p>
            <w:pPr>
              <w:pStyle w:val="33"/>
              <w:adjustRightInd w:val="0"/>
              <w:snapToGrid w:val="0"/>
              <w:spacing w:line="360" w:lineRule="auto"/>
              <w:jc w:val="center"/>
              <w:rPr>
                <w:bCs/>
                <w:sz w:val="24"/>
              </w:rPr>
            </w:pPr>
            <w:r>
              <w:rPr>
                <w:rFonts w:hint="eastAsia"/>
                <w:bCs/>
                <w:sz w:val="24"/>
              </w:rPr>
              <w:t>投标报价评分标准</w:t>
            </w:r>
          </w:p>
        </w:tc>
        <w:tc>
          <w:tcPr>
            <w:tcW w:w="1261" w:type="pct"/>
            <w:vAlign w:val="center"/>
          </w:tcPr>
          <w:p/>
          <w:p>
            <w:pPr>
              <w:spacing w:line="400" w:lineRule="exact"/>
              <w:ind w:firstLine="480" w:firstLineChars="200"/>
              <w:jc w:val="center"/>
              <w:rPr>
                <w:bCs/>
                <w:sz w:val="24"/>
              </w:rPr>
            </w:pPr>
          </w:p>
          <w:p>
            <w:pPr>
              <w:spacing w:line="400" w:lineRule="exact"/>
              <w:jc w:val="center"/>
              <w:rPr>
                <w:sz w:val="24"/>
              </w:rPr>
            </w:pPr>
            <w:r>
              <w:rPr>
                <w:rFonts w:hint="eastAsia"/>
                <w:sz w:val="24"/>
                <w:lang w:eastAsia="zh-Hans"/>
              </w:rPr>
              <w:t>投标报价评分标准</w:t>
            </w:r>
            <w:r>
              <w:rPr>
                <w:rFonts w:hint="eastAsia"/>
                <w:sz w:val="24"/>
              </w:rPr>
              <w:t>（20分）</w:t>
            </w:r>
          </w:p>
        </w:tc>
        <w:tc>
          <w:tcPr>
            <w:tcW w:w="2521" w:type="pct"/>
            <w:vAlign w:val="center"/>
          </w:tcPr>
          <w:p>
            <w:pPr>
              <w:spacing w:line="276" w:lineRule="auto"/>
              <w:rPr>
                <w:rFonts w:ascii="宋体" w:hAnsi="宋体" w:cs="宋体"/>
                <w:color w:val="000000"/>
                <w:sz w:val="24"/>
              </w:rPr>
            </w:pPr>
            <w:r>
              <w:rPr>
                <w:rFonts w:hint="eastAsia" w:ascii="宋体" w:hAnsi="宋体" w:cs="宋体"/>
                <w:color w:val="000000"/>
                <w:sz w:val="24"/>
              </w:rPr>
              <w:t>综合评分法中的价格分统一采用低价优先法计算，即满足招标文件要求且投标价格最低的开标一览表报价为评标基准价，其价格分为满分。其他供应商的价格分统一按照下列公式计算：</w:t>
            </w:r>
          </w:p>
          <w:p>
            <w:pPr>
              <w:spacing w:line="400" w:lineRule="exact"/>
              <w:rPr>
                <w:sz w:val="24"/>
                <w:lang w:eastAsia="zh-Hans"/>
              </w:rPr>
            </w:pPr>
            <w:r>
              <w:rPr>
                <w:rFonts w:hint="eastAsia" w:ascii="宋体" w:hAnsi="宋体" w:cs="宋体"/>
                <w:color w:val="000000"/>
                <w:sz w:val="24"/>
              </w:rPr>
              <w:t>报价得分=(评标基准价／开标一览表报价)×价格权值×100</w:t>
            </w:r>
          </w:p>
        </w:tc>
      </w:tr>
    </w:tbl>
    <w:p/>
    <w:p/>
    <w:p>
      <w:pPr>
        <w:pStyle w:val="2"/>
      </w:pPr>
    </w:p>
    <w:p>
      <w:pPr>
        <w:autoSpaceDE w:val="0"/>
        <w:autoSpaceDN w:val="0"/>
        <w:adjustRightInd w:val="0"/>
        <w:spacing w:line="360" w:lineRule="auto"/>
        <w:rPr>
          <w:rFonts w:ascii="宋体" w:hAnsi="宋体" w:cs="宋体"/>
          <w:b/>
          <w:kern w:val="0"/>
          <w:sz w:val="32"/>
          <w:szCs w:val="32"/>
        </w:rPr>
      </w:pPr>
    </w:p>
    <w:p/>
    <w:sectPr>
      <w:footerReference r:id="rId3" w:type="default"/>
      <w:footerReference r:id="rId4" w:type="even"/>
      <w:pgSz w:w="11906" w:h="16838"/>
      <w:pgMar w:top="907" w:right="1474" w:bottom="680"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Fonts w:ascii="宋体" w:hAnsi="宋体"/>
        <w:sz w:val="21"/>
        <w:szCs w:val="21"/>
      </w:rPr>
    </w:pPr>
    <w:r>
      <w:rPr>
        <w:rFonts w:ascii="宋体" w:hAnsi="宋体"/>
        <w:sz w:val="21"/>
        <w:szCs w:val="21"/>
      </w:rPr>
      <w:fldChar w:fldCharType="begin"/>
    </w:r>
    <w:r>
      <w:rPr>
        <w:rStyle w:val="21"/>
        <w:rFonts w:ascii="宋体" w:hAnsi="宋体"/>
        <w:sz w:val="21"/>
        <w:szCs w:val="21"/>
      </w:rPr>
      <w:instrText xml:space="preserve">PAGE  </w:instrText>
    </w:r>
    <w:r>
      <w:rPr>
        <w:rFonts w:ascii="宋体" w:hAnsi="宋体"/>
        <w:sz w:val="21"/>
        <w:szCs w:val="21"/>
      </w:rPr>
      <w:fldChar w:fldCharType="separate"/>
    </w:r>
    <w:r>
      <w:rPr>
        <w:rStyle w:val="21"/>
        <w:rFonts w:ascii="宋体" w:hAnsi="宋体"/>
        <w:sz w:val="21"/>
        <w:szCs w:val="21"/>
      </w:rPr>
      <w:t>15</w:t>
    </w:r>
    <w:r>
      <w:rPr>
        <w:rFonts w:ascii="宋体" w:hAnsi="宋体"/>
        <w:sz w:val="21"/>
        <w:szCs w:val="21"/>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A4522"/>
    <w:multiLevelType w:val="singleLevel"/>
    <w:tmpl w:val="ADAA4522"/>
    <w:lvl w:ilvl="0" w:tentative="0">
      <w:start w:val="2"/>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47F66C00"/>
    <w:multiLevelType w:val="multilevel"/>
    <w:tmpl w:val="47F66C00"/>
    <w:lvl w:ilvl="0" w:tentative="0">
      <w:start w:val="1"/>
      <w:numFmt w:val="japaneseCounting"/>
      <w:lvlText w:val="（%1）"/>
      <w:lvlJc w:val="left"/>
      <w:pPr>
        <w:ind w:left="425" w:hanging="425"/>
      </w:pPr>
      <w:rPr>
        <w:rFonts w:ascii="宋体" w:hAnsi="宋体" w:eastAsia="宋体" w:cs="宋体"/>
        <w:color w:val="000000" w:themeColor="text1"/>
        <w14:textFill>
          <w14:solidFill>
            <w14:schemeClr w14:val="tx1"/>
          </w14:solidFill>
        </w14:textFill>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4BBD4630"/>
    <w:multiLevelType w:val="multilevel"/>
    <w:tmpl w:val="4BBD4630"/>
    <w:lvl w:ilvl="0" w:tentative="0">
      <w:start w:val="1"/>
      <w:numFmt w:val="decimal"/>
      <w:lvlText w:val="%1."/>
      <w:lvlJc w:val="left"/>
      <w:pPr>
        <w:ind w:left="1007" w:hanging="440"/>
      </w:pPr>
    </w:lvl>
    <w:lvl w:ilvl="1" w:tentative="0">
      <w:start w:val="1"/>
      <w:numFmt w:val="lowerLetter"/>
      <w:lvlText w:val="%2)"/>
      <w:lvlJc w:val="left"/>
      <w:pPr>
        <w:ind w:left="1447" w:hanging="440"/>
      </w:pPr>
    </w:lvl>
    <w:lvl w:ilvl="2" w:tentative="0">
      <w:start w:val="1"/>
      <w:numFmt w:val="lowerRoman"/>
      <w:lvlText w:val="%3."/>
      <w:lvlJc w:val="right"/>
      <w:pPr>
        <w:ind w:left="1887" w:hanging="440"/>
      </w:pPr>
    </w:lvl>
    <w:lvl w:ilvl="3" w:tentative="0">
      <w:start w:val="1"/>
      <w:numFmt w:val="decimal"/>
      <w:lvlText w:val="%4."/>
      <w:lvlJc w:val="left"/>
      <w:pPr>
        <w:ind w:left="2327" w:hanging="440"/>
      </w:pPr>
    </w:lvl>
    <w:lvl w:ilvl="4" w:tentative="0">
      <w:start w:val="1"/>
      <w:numFmt w:val="lowerLetter"/>
      <w:lvlText w:val="%5)"/>
      <w:lvlJc w:val="left"/>
      <w:pPr>
        <w:ind w:left="2767" w:hanging="440"/>
      </w:pPr>
    </w:lvl>
    <w:lvl w:ilvl="5" w:tentative="0">
      <w:start w:val="1"/>
      <w:numFmt w:val="lowerRoman"/>
      <w:lvlText w:val="%6."/>
      <w:lvlJc w:val="right"/>
      <w:pPr>
        <w:ind w:left="3207" w:hanging="440"/>
      </w:pPr>
    </w:lvl>
    <w:lvl w:ilvl="6" w:tentative="0">
      <w:start w:val="1"/>
      <w:numFmt w:val="decimal"/>
      <w:lvlText w:val="%7."/>
      <w:lvlJc w:val="left"/>
      <w:pPr>
        <w:ind w:left="3647" w:hanging="440"/>
      </w:pPr>
    </w:lvl>
    <w:lvl w:ilvl="7" w:tentative="0">
      <w:start w:val="1"/>
      <w:numFmt w:val="lowerLetter"/>
      <w:lvlText w:val="%8)"/>
      <w:lvlJc w:val="left"/>
      <w:pPr>
        <w:ind w:left="4087" w:hanging="440"/>
      </w:pPr>
    </w:lvl>
    <w:lvl w:ilvl="8" w:tentative="0">
      <w:start w:val="1"/>
      <w:numFmt w:val="lowerRoman"/>
      <w:lvlText w:val="%9."/>
      <w:lvlJc w:val="right"/>
      <w:pPr>
        <w:ind w:left="4527" w:hanging="44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YzA4NDQxMWM2YmUyNWRlYzJmNGVlNmQwZDk4OTMifQ=="/>
  </w:docVars>
  <w:rsids>
    <w:rsidRoot w:val="0EE7356F"/>
    <w:rsid w:val="00021AF9"/>
    <w:rsid w:val="000F17C1"/>
    <w:rsid w:val="001404F2"/>
    <w:rsid w:val="00143BAB"/>
    <w:rsid w:val="00276573"/>
    <w:rsid w:val="002A0C03"/>
    <w:rsid w:val="002C3E5F"/>
    <w:rsid w:val="002E1DF6"/>
    <w:rsid w:val="002F322B"/>
    <w:rsid w:val="00415F19"/>
    <w:rsid w:val="004559F5"/>
    <w:rsid w:val="00480444"/>
    <w:rsid w:val="005B2CB2"/>
    <w:rsid w:val="00600039"/>
    <w:rsid w:val="00687467"/>
    <w:rsid w:val="00695CCE"/>
    <w:rsid w:val="006B588F"/>
    <w:rsid w:val="008F3B23"/>
    <w:rsid w:val="009B092E"/>
    <w:rsid w:val="00A22BEC"/>
    <w:rsid w:val="00BC35EF"/>
    <w:rsid w:val="00C26D46"/>
    <w:rsid w:val="00C64639"/>
    <w:rsid w:val="00C852A5"/>
    <w:rsid w:val="00D26BDF"/>
    <w:rsid w:val="00E61CA7"/>
    <w:rsid w:val="00F21321"/>
    <w:rsid w:val="019D6E7E"/>
    <w:rsid w:val="021A4C89"/>
    <w:rsid w:val="03A7728E"/>
    <w:rsid w:val="04C5695B"/>
    <w:rsid w:val="08960286"/>
    <w:rsid w:val="097C3D49"/>
    <w:rsid w:val="09CD39F8"/>
    <w:rsid w:val="0AAE17B2"/>
    <w:rsid w:val="0CF1208C"/>
    <w:rsid w:val="0EE7356F"/>
    <w:rsid w:val="10F77DDD"/>
    <w:rsid w:val="145C2F42"/>
    <w:rsid w:val="14EA6D7D"/>
    <w:rsid w:val="153E27FD"/>
    <w:rsid w:val="16BF0B5E"/>
    <w:rsid w:val="17C5481D"/>
    <w:rsid w:val="19046BF7"/>
    <w:rsid w:val="196427C7"/>
    <w:rsid w:val="19A16042"/>
    <w:rsid w:val="19FC3E43"/>
    <w:rsid w:val="1B7862CE"/>
    <w:rsid w:val="1C3E4F22"/>
    <w:rsid w:val="1CBD0FDA"/>
    <w:rsid w:val="1DD67A76"/>
    <w:rsid w:val="1E2D0963"/>
    <w:rsid w:val="1E894B5E"/>
    <w:rsid w:val="1F736452"/>
    <w:rsid w:val="207B4399"/>
    <w:rsid w:val="20EE195E"/>
    <w:rsid w:val="27744D14"/>
    <w:rsid w:val="27B06DA2"/>
    <w:rsid w:val="27EF16AC"/>
    <w:rsid w:val="29D25DF6"/>
    <w:rsid w:val="2A901AAB"/>
    <w:rsid w:val="2BEB4A7E"/>
    <w:rsid w:val="2C036CBD"/>
    <w:rsid w:val="2C1F2245"/>
    <w:rsid w:val="2D421B81"/>
    <w:rsid w:val="2D9D7D9E"/>
    <w:rsid w:val="2E8B665B"/>
    <w:rsid w:val="2F553C0C"/>
    <w:rsid w:val="311A5A74"/>
    <w:rsid w:val="31DC5ED2"/>
    <w:rsid w:val="346A44E3"/>
    <w:rsid w:val="35100415"/>
    <w:rsid w:val="354459C3"/>
    <w:rsid w:val="35A83E4D"/>
    <w:rsid w:val="386D5023"/>
    <w:rsid w:val="389D76B7"/>
    <w:rsid w:val="39391EB4"/>
    <w:rsid w:val="394E0EA8"/>
    <w:rsid w:val="39604016"/>
    <w:rsid w:val="3A39340F"/>
    <w:rsid w:val="3A3F3AB7"/>
    <w:rsid w:val="3A6511DD"/>
    <w:rsid w:val="3BA743A8"/>
    <w:rsid w:val="3C3BCF14"/>
    <w:rsid w:val="3D127F47"/>
    <w:rsid w:val="3DBB413B"/>
    <w:rsid w:val="3DCF90A8"/>
    <w:rsid w:val="3F7919FC"/>
    <w:rsid w:val="3FF57F95"/>
    <w:rsid w:val="3FFF3E39"/>
    <w:rsid w:val="40BE2DE9"/>
    <w:rsid w:val="42623636"/>
    <w:rsid w:val="468607B9"/>
    <w:rsid w:val="46ED1165"/>
    <w:rsid w:val="483849EC"/>
    <w:rsid w:val="48E85E69"/>
    <w:rsid w:val="48ED240F"/>
    <w:rsid w:val="4F883789"/>
    <w:rsid w:val="4FDF675C"/>
    <w:rsid w:val="500C0BFF"/>
    <w:rsid w:val="504D7F6D"/>
    <w:rsid w:val="51256BBA"/>
    <w:rsid w:val="52B275EA"/>
    <w:rsid w:val="53447785"/>
    <w:rsid w:val="53B849A5"/>
    <w:rsid w:val="54DC2BC5"/>
    <w:rsid w:val="575443EE"/>
    <w:rsid w:val="57681EC2"/>
    <w:rsid w:val="582D5135"/>
    <w:rsid w:val="597733E3"/>
    <w:rsid w:val="59955EFE"/>
    <w:rsid w:val="5A1D1FAE"/>
    <w:rsid w:val="5BE14F4A"/>
    <w:rsid w:val="5D1F603D"/>
    <w:rsid w:val="5DE93332"/>
    <w:rsid w:val="5FEFDAB6"/>
    <w:rsid w:val="601C07A3"/>
    <w:rsid w:val="60B31005"/>
    <w:rsid w:val="62FC29F2"/>
    <w:rsid w:val="63805CD8"/>
    <w:rsid w:val="63B3128D"/>
    <w:rsid w:val="642532F0"/>
    <w:rsid w:val="64E252D6"/>
    <w:rsid w:val="65D40C24"/>
    <w:rsid w:val="66916145"/>
    <w:rsid w:val="6697476C"/>
    <w:rsid w:val="66B45915"/>
    <w:rsid w:val="66C370E1"/>
    <w:rsid w:val="67EF28A9"/>
    <w:rsid w:val="693C274A"/>
    <w:rsid w:val="69BE7D36"/>
    <w:rsid w:val="6B6D6371"/>
    <w:rsid w:val="6B864601"/>
    <w:rsid w:val="6C365F4F"/>
    <w:rsid w:val="6DED177E"/>
    <w:rsid w:val="6E1A1003"/>
    <w:rsid w:val="6EF6DC26"/>
    <w:rsid w:val="703F59E1"/>
    <w:rsid w:val="70927424"/>
    <w:rsid w:val="71374BC7"/>
    <w:rsid w:val="72812ECC"/>
    <w:rsid w:val="731F81C4"/>
    <w:rsid w:val="73435B1B"/>
    <w:rsid w:val="75DF3A15"/>
    <w:rsid w:val="77BA78AB"/>
    <w:rsid w:val="79861F63"/>
    <w:rsid w:val="7A71238D"/>
    <w:rsid w:val="7B730E97"/>
    <w:rsid w:val="7BEBE265"/>
    <w:rsid w:val="7C0D1191"/>
    <w:rsid w:val="7CC9416C"/>
    <w:rsid w:val="7CFEBDCE"/>
    <w:rsid w:val="7D5633DA"/>
    <w:rsid w:val="7DEC6084"/>
    <w:rsid w:val="7E4F76B1"/>
    <w:rsid w:val="7EBE160C"/>
    <w:rsid w:val="A6EF4277"/>
    <w:rsid w:val="F7FEB874"/>
    <w:rsid w:val="FED73DA7"/>
    <w:rsid w:val="FEE700A3"/>
    <w:rsid w:val="FF5AA31D"/>
    <w:rsid w:val="FFF6C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line="480" w:lineRule="auto"/>
    </w:pPr>
  </w:style>
  <w:style w:type="paragraph" w:styleId="6">
    <w:name w:val="annotation text"/>
    <w:basedOn w:val="1"/>
    <w:link w:val="28"/>
    <w:qFormat/>
    <w:uiPriority w:val="99"/>
    <w:pPr>
      <w:jc w:val="left"/>
    </w:pPr>
  </w:style>
  <w:style w:type="paragraph" w:styleId="7">
    <w:name w:val="Body Text 3"/>
    <w:basedOn w:val="1"/>
    <w:qFormat/>
    <w:uiPriority w:val="0"/>
    <w:pPr>
      <w:spacing w:after="120"/>
    </w:pPr>
    <w:rPr>
      <w:sz w:val="16"/>
      <w:szCs w:val="16"/>
    </w:rPr>
  </w:style>
  <w:style w:type="paragraph" w:styleId="8">
    <w:name w:val="Body Text Indent"/>
    <w:basedOn w:val="1"/>
    <w:next w:val="9"/>
    <w:unhideWhenUsed/>
    <w:qFormat/>
    <w:uiPriority w:val="0"/>
    <w:pPr>
      <w:spacing w:after="120"/>
      <w:ind w:left="420" w:leftChars="200"/>
    </w:pPr>
    <w:rPr>
      <w:kern w:val="0"/>
      <w:sz w:val="20"/>
    </w:rPr>
  </w:style>
  <w:style w:type="paragraph" w:styleId="9">
    <w:name w:val="envelope return"/>
    <w:basedOn w:val="1"/>
    <w:qFormat/>
    <w:uiPriority w:val="0"/>
    <w:pPr>
      <w:snapToGrid w:val="0"/>
    </w:pPr>
    <w:rPr>
      <w:rFonts w:ascii="Arial" w:hAnsi="Arial"/>
    </w:rPr>
  </w:style>
  <w:style w:type="paragraph" w:styleId="10">
    <w:name w:val="Balloon Text"/>
    <w:basedOn w:val="1"/>
    <w:link w:val="29"/>
    <w:unhideWhenUsed/>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toc 1"/>
    <w:basedOn w:val="1"/>
    <w:next w:val="1"/>
    <w:qFormat/>
    <w:uiPriority w:val="0"/>
  </w:style>
  <w:style w:type="paragraph" w:styleId="1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4">
    <w:name w:val="List"/>
    <w:basedOn w:val="1"/>
    <w:qFormat/>
    <w:uiPriority w:val="99"/>
    <w:pPr>
      <w:ind w:left="420" w:hanging="420"/>
    </w:pPr>
    <w:rPr>
      <w:rFonts w:ascii="Arial" w:hAnsi="Arial" w:eastAsia="楷体_GB2312"/>
      <w:sz w:val="28"/>
    </w:rPr>
  </w:style>
  <w:style w:type="paragraph" w:styleId="15">
    <w:name w:val="toc 2"/>
    <w:basedOn w:val="1"/>
    <w:next w:val="1"/>
    <w:qFormat/>
    <w:uiPriority w:val="0"/>
    <w:pPr>
      <w:ind w:left="420" w:leftChars="200"/>
    </w:p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w:basedOn w:val="2"/>
    <w:qFormat/>
    <w:uiPriority w:val="0"/>
    <w:pPr>
      <w:ind w:firstLine="420" w:firstLineChars="100"/>
    </w:pPr>
    <w:rPr>
      <w:rFonts w:ascii="宋体"/>
      <w:kern w:val="0"/>
      <w:sz w:val="34"/>
    </w:rPr>
  </w:style>
  <w:style w:type="paragraph" w:styleId="18">
    <w:name w:val="Body Text First Indent 2"/>
    <w:basedOn w:val="8"/>
    <w:next w:val="14"/>
    <w:qFormat/>
    <w:uiPriority w:val="0"/>
    <w:pPr>
      <w:ind w:firstLine="420" w:firstLineChars="200"/>
    </w:pPr>
    <w:rPr>
      <w:kern w:val="2"/>
      <w:sz w:val="21"/>
    </w:rPr>
  </w:style>
  <w:style w:type="character" w:styleId="21">
    <w:name w:val="page number"/>
    <w:basedOn w:val="20"/>
    <w:qFormat/>
    <w:uiPriority w:val="0"/>
  </w:style>
  <w:style w:type="character" w:styleId="22">
    <w:name w:val="Hyperlink"/>
    <w:basedOn w:val="20"/>
    <w:semiHidden/>
    <w:unhideWhenUsed/>
    <w:qFormat/>
    <w:uiPriority w:val="0"/>
    <w:rPr>
      <w:color w:val="0000FF"/>
      <w:u w:val="single"/>
    </w:rPr>
  </w:style>
  <w:style w:type="character" w:styleId="23">
    <w:name w:val="annotation reference"/>
    <w:basedOn w:val="20"/>
    <w:unhideWhenUsed/>
    <w:qFormat/>
    <w:uiPriority w:val="99"/>
    <w:rPr>
      <w:sz w:val="21"/>
      <w:szCs w:val="21"/>
    </w:rPr>
  </w:style>
  <w:style w:type="paragraph" w:customStyle="1" w:styleId="24">
    <w:name w:val="标题 5（有编号）（绿盟科技）"/>
    <w:basedOn w:val="1"/>
    <w:next w:val="25"/>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7">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character" w:customStyle="1" w:styleId="28">
    <w:name w:val="批注文字 Char"/>
    <w:basedOn w:val="20"/>
    <w:link w:val="6"/>
    <w:qFormat/>
    <w:uiPriority w:val="99"/>
    <w:rPr>
      <w:kern w:val="2"/>
      <w:sz w:val="21"/>
      <w:szCs w:val="24"/>
    </w:rPr>
  </w:style>
  <w:style w:type="character" w:customStyle="1" w:styleId="29">
    <w:name w:val="批注框文本 Char"/>
    <w:basedOn w:val="20"/>
    <w:link w:val="10"/>
    <w:semiHidden/>
    <w:qFormat/>
    <w:uiPriority w:val="0"/>
    <w:rPr>
      <w:kern w:val="2"/>
      <w:sz w:val="18"/>
      <w:szCs w:val="18"/>
    </w:rPr>
  </w:style>
  <w:style w:type="paragraph" w:customStyle="1" w:styleId="30">
    <w:name w:val="正文首行缩进两字符"/>
    <w:basedOn w:val="1"/>
    <w:qFormat/>
    <w:uiPriority w:val="0"/>
    <w:pPr>
      <w:spacing w:line="360" w:lineRule="auto"/>
      <w:ind w:firstLine="200" w:firstLineChars="200"/>
    </w:pPr>
    <w:rPr>
      <w:rFonts w:ascii="宋体"/>
      <w:kern w:val="0"/>
      <w:sz w:val="34"/>
    </w:rPr>
  </w:style>
  <w:style w:type="paragraph" w:customStyle="1" w:styleId="31">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styleId="32">
    <w:name w:val="List Paragraph"/>
    <w:basedOn w:val="1"/>
    <w:qFormat/>
    <w:uiPriority w:val="99"/>
    <w:pPr>
      <w:ind w:firstLine="420" w:firstLineChars="200"/>
    </w:pPr>
  </w:style>
  <w:style w:type="paragraph" w:customStyle="1" w:styleId="33">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0BA11-C40B-4563-9D78-ED9A9CA4A2C1}">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17</Pages>
  <Words>6885</Words>
  <Characters>7379</Characters>
  <Lines>61</Lines>
  <Paragraphs>17</Paragraphs>
  <TotalTime>56</TotalTime>
  <ScaleCrop>false</ScaleCrop>
  <LinksUpToDate>false</LinksUpToDate>
  <CharactersWithSpaces>7727</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2020-05-08T05:23:00Z</dcterms:created>
  <dc:creator>h</dc:creator>
  <cp:lastModifiedBy>Administrator</cp:lastModifiedBy>
  <cp:lastPrinted>2022-06-23T22:46:00Z</cp:lastPrinted>
  <dcterms:modified xsi:type="dcterms:W3CDTF">2024-07-05T05:14:16Z</dcterms:modified>
  <dc:title>宜宾市第一人民医院2020年-2023年度招标代理机构</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CE5B8710497F4E09A03EC702B64979F4</vt:lpwstr>
  </property>
</Properties>
</file>